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F1DF" w14:textId="77777777" w:rsidR="00E57DEA" w:rsidRDefault="00E57DEA" w:rsidP="00F01E19">
      <w:pPr>
        <w:spacing w:after="160" w:line="259" w:lineRule="auto"/>
        <w:jc w:val="center"/>
        <w:rPr>
          <w:b/>
          <w:caps/>
          <w:color w:val="0070C0"/>
          <w:szCs w:val="20"/>
        </w:rPr>
      </w:pPr>
    </w:p>
    <w:p w14:paraId="1E372D39" w14:textId="11CFF183" w:rsidR="00CB6FF3" w:rsidRPr="00CD3D9C" w:rsidRDefault="00C54169" w:rsidP="00F01E19">
      <w:pPr>
        <w:spacing w:after="160" w:line="259" w:lineRule="auto"/>
        <w:jc w:val="center"/>
        <w:rPr>
          <w:b/>
          <w:caps/>
          <w:color w:val="0070C0"/>
          <w:szCs w:val="20"/>
        </w:rPr>
      </w:pPr>
      <w:r w:rsidRPr="00CD3D9C">
        <w:rPr>
          <w:b/>
          <w:caps/>
          <w:color w:val="0070C0"/>
          <w:szCs w:val="20"/>
        </w:rPr>
        <w:t xml:space="preserve">A. </w:t>
      </w:r>
      <w:r w:rsidR="001134F6" w:rsidRPr="00CD3D9C">
        <w:rPr>
          <w:b/>
          <w:caps/>
          <w:color w:val="0070C0"/>
          <w:szCs w:val="20"/>
        </w:rPr>
        <w:t>COVER PAGE</w:t>
      </w:r>
    </w:p>
    <w:p w14:paraId="45CEB8AD" w14:textId="17373EB8" w:rsidR="00CB6FF3" w:rsidRPr="00CD3D9C" w:rsidRDefault="00CB6FF3" w:rsidP="001134F6">
      <w:pPr>
        <w:rPr>
          <w:i/>
          <w:color w:val="000000" w:themeColor="text1"/>
          <w:szCs w:val="20"/>
        </w:rPr>
      </w:pPr>
    </w:p>
    <w:p w14:paraId="3D6DE532" w14:textId="77777777" w:rsidR="00C56B1B" w:rsidRPr="00CD3D9C" w:rsidRDefault="00C56B1B" w:rsidP="001134F6">
      <w:pPr>
        <w:rPr>
          <w:i/>
          <w:color w:val="000000" w:themeColor="text1"/>
          <w:szCs w:val="20"/>
        </w:rPr>
      </w:pPr>
    </w:p>
    <w:p w14:paraId="365AFB2C" w14:textId="77777777" w:rsidR="002E3748" w:rsidRPr="00CD3D9C" w:rsidRDefault="002E3748" w:rsidP="002E3748">
      <w:pPr>
        <w:rPr>
          <w:color w:val="000000" w:themeColor="text1"/>
          <w:szCs w:val="20"/>
        </w:rPr>
      </w:pPr>
      <w:r w:rsidRPr="00CD3D9C">
        <w:rPr>
          <w:b/>
          <w:bCs/>
          <w:color w:val="000000" w:themeColor="text1"/>
          <w:szCs w:val="20"/>
        </w:rPr>
        <w:t>1. Fund Name</w:t>
      </w:r>
      <w:r w:rsidRPr="00CD3D9C">
        <w:rPr>
          <w:color w:val="000000" w:themeColor="text1"/>
          <w:szCs w:val="20"/>
        </w:rPr>
        <w:t>: Joint SDG Fund</w:t>
      </w:r>
    </w:p>
    <w:p w14:paraId="4CEEFDCD" w14:textId="77777777" w:rsidR="00C56B1B" w:rsidRPr="00CD3D9C" w:rsidRDefault="00C56B1B" w:rsidP="001134F6">
      <w:pPr>
        <w:rPr>
          <w:i/>
          <w:color w:val="000000" w:themeColor="text1"/>
          <w:szCs w:val="20"/>
        </w:rPr>
      </w:pPr>
    </w:p>
    <w:p w14:paraId="668B4AC9" w14:textId="7626EACD" w:rsidR="00047E8A" w:rsidRPr="00CD3D9C" w:rsidRDefault="000134E4" w:rsidP="001134F6">
      <w:pPr>
        <w:rPr>
          <w:i/>
          <w:color w:val="C45911" w:themeColor="accent2" w:themeShade="BF"/>
          <w:szCs w:val="20"/>
        </w:rPr>
      </w:pPr>
      <w:r w:rsidRPr="00CD3D9C">
        <w:rPr>
          <w:rFonts w:eastAsia="Times New Roman"/>
          <w:b/>
          <w:bCs/>
          <w:color w:val="000000" w:themeColor="text1"/>
          <w:szCs w:val="20"/>
          <w:lang w:eastAsia="en-GB"/>
        </w:rPr>
        <w:t>2</w:t>
      </w:r>
      <w:r w:rsidR="002A6098" w:rsidRPr="00CD3D9C">
        <w:rPr>
          <w:rFonts w:eastAsia="Times New Roman"/>
          <w:b/>
          <w:bCs/>
          <w:color w:val="000000" w:themeColor="text1"/>
          <w:szCs w:val="20"/>
          <w:lang w:eastAsia="en-GB"/>
        </w:rPr>
        <w:t>.</w:t>
      </w:r>
      <w:r w:rsidRPr="00CD3D9C">
        <w:rPr>
          <w:rFonts w:eastAsia="Times New Roman"/>
          <w:b/>
          <w:bCs/>
          <w:color w:val="000000" w:themeColor="text1"/>
          <w:szCs w:val="20"/>
          <w:lang w:eastAsia="en-GB"/>
        </w:rPr>
        <w:t xml:space="preserve"> </w:t>
      </w:r>
      <w:r w:rsidR="00047E8A" w:rsidRPr="00CD3D9C">
        <w:rPr>
          <w:rFonts w:eastAsia="Times New Roman"/>
          <w:b/>
          <w:bCs/>
          <w:color w:val="000000" w:themeColor="text1"/>
          <w:szCs w:val="20"/>
          <w:lang w:eastAsia="en-GB"/>
        </w:rPr>
        <w:t>MPTFO Project Reference Number</w:t>
      </w:r>
      <w:r w:rsidR="00047E8A" w:rsidRPr="00CD3D9C">
        <w:rPr>
          <w:rFonts w:eastAsia="Times New Roman"/>
          <w:color w:val="000000" w:themeColor="text1"/>
          <w:szCs w:val="20"/>
          <w:lang w:eastAsia="en-GB"/>
        </w:rPr>
        <w:t xml:space="preserve"> </w:t>
      </w:r>
    </w:p>
    <w:p w14:paraId="532E116C" w14:textId="77777777" w:rsidR="00C56B1B" w:rsidRPr="00CD3D9C" w:rsidRDefault="00C56B1B" w:rsidP="001134F6">
      <w:pPr>
        <w:rPr>
          <w:rFonts w:eastAsia="Times New Roman"/>
          <w:i/>
          <w:color w:val="000000" w:themeColor="text1"/>
          <w:szCs w:val="20"/>
          <w:lang w:eastAsia="en-GB"/>
        </w:rPr>
      </w:pPr>
    </w:p>
    <w:p w14:paraId="3E416E56" w14:textId="7211B051" w:rsidR="00A10B19" w:rsidRDefault="32BADABB" w:rsidP="66A1DF9F">
      <w:pPr>
        <w:rPr>
          <w:rFonts w:eastAsia="Times New Roman"/>
          <w:i/>
          <w:iCs/>
          <w:color w:val="C45911" w:themeColor="accent2" w:themeShade="BF"/>
          <w:lang w:eastAsia="en-GB"/>
        </w:rPr>
      </w:pPr>
      <w:r w:rsidRPr="66A1DF9F">
        <w:rPr>
          <w:rFonts w:eastAsia="Times New Roman"/>
          <w:b/>
          <w:bCs/>
          <w:color w:val="000000" w:themeColor="text1"/>
          <w:lang w:eastAsia="en-GB"/>
        </w:rPr>
        <w:t>3</w:t>
      </w:r>
      <w:r w:rsidR="2A297105" w:rsidRPr="66A1DF9F">
        <w:rPr>
          <w:rFonts w:eastAsia="Times New Roman"/>
          <w:b/>
          <w:bCs/>
          <w:color w:val="000000" w:themeColor="text1"/>
          <w:lang w:eastAsia="en-GB"/>
        </w:rPr>
        <w:t>.</w:t>
      </w:r>
      <w:r w:rsidRPr="66A1DF9F">
        <w:rPr>
          <w:rFonts w:eastAsia="Times New Roman"/>
          <w:b/>
          <w:bCs/>
          <w:color w:val="000000" w:themeColor="text1"/>
          <w:lang w:eastAsia="en-GB"/>
        </w:rPr>
        <w:t xml:space="preserve"> </w:t>
      </w:r>
      <w:r w:rsidR="6BBB6BC6" w:rsidRPr="66A1DF9F">
        <w:rPr>
          <w:rFonts w:eastAsia="Times New Roman"/>
          <w:b/>
          <w:bCs/>
          <w:color w:val="000000" w:themeColor="text1"/>
          <w:lang w:eastAsia="en-GB"/>
        </w:rPr>
        <w:t>Joint programme t</w:t>
      </w:r>
      <w:r w:rsidR="4B061EBD" w:rsidRPr="66A1DF9F">
        <w:rPr>
          <w:rFonts w:eastAsia="Times New Roman"/>
          <w:b/>
          <w:bCs/>
          <w:color w:val="000000" w:themeColor="text1"/>
          <w:lang w:eastAsia="en-GB"/>
        </w:rPr>
        <w:t>itle</w:t>
      </w:r>
      <w:r w:rsidR="4B061EBD" w:rsidRPr="66A1DF9F">
        <w:rPr>
          <w:rFonts w:eastAsia="Times New Roman"/>
          <w:i/>
          <w:iCs/>
          <w:color w:val="000000" w:themeColor="text1"/>
          <w:lang w:eastAsia="en-GB"/>
        </w:rPr>
        <w:t xml:space="preserve"> </w:t>
      </w:r>
    </w:p>
    <w:p w14:paraId="444562E7" w14:textId="2BA609F7" w:rsidR="009F2A4A" w:rsidRPr="00D16D22" w:rsidRDefault="009F2A4A" w:rsidP="001134F6">
      <w:r w:rsidRPr="00D16D22">
        <w:t>Operationalizing Integrated National Financing Framework in the Maldives to prioritize and mobilize financing for Climate Action and Quality Social Service Delivery to accelerate the achievement of Agenda 2030.</w:t>
      </w:r>
    </w:p>
    <w:p w14:paraId="48AC7A68" w14:textId="77777777" w:rsidR="00C56B1B" w:rsidRPr="00CD3D9C" w:rsidRDefault="00C56B1B" w:rsidP="001134F6">
      <w:pPr>
        <w:rPr>
          <w:rFonts w:eastAsia="Times New Roman"/>
          <w:i/>
          <w:color w:val="000000" w:themeColor="text1"/>
          <w:szCs w:val="20"/>
          <w:lang w:eastAsia="en-GB"/>
        </w:rPr>
      </w:pPr>
    </w:p>
    <w:p w14:paraId="2EC2EAC5" w14:textId="06B134BD" w:rsidR="00CB6FF3" w:rsidRDefault="000134E4" w:rsidP="00AC73C5">
      <w:pPr>
        <w:rPr>
          <w:rFonts w:eastAsia="Times New Roman"/>
          <w:i/>
          <w:color w:val="C45911" w:themeColor="accent2" w:themeShade="BF"/>
          <w:szCs w:val="20"/>
          <w:lang w:eastAsia="en-GB"/>
        </w:rPr>
      </w:pPr>
      <w:r w:rsidRPr="00CD3D9C">
        <w:rPr>
          <w:rFonts w:eastAsia="Times New Roman"/>
          <w:b/>
          <w:bCs/>
          <w:color w:val="000000" w:themeColor="text1"/>
          <w:szCs w:val="20"/>
          <w:lang w:eastAsia="en-GB"/>
        </w:rPr>
        <w:t>4</w:t>
      </w:r>
      <w:r w:rsidR="002A6C1F" w:rsidRPr="00CD3D9C">
        <w:rPr>
          <w:rFonts w:eastAsia="Times New Roman"/>
          <w:b/>
          <w:bCs/>
          <w:color w:val="000000" w:themeColor="text1"/>
          <w:szCs w:val="20"/>
          <w:lang w:eastAsia="en-GB"/>
        </w:rPr>
        <w:t>.</w:t>
      </w:r>
      <w:r w:rsidRPr="00CD3D9C">
        <w:rPr>
          <w:rFonts w:eastAsia="Times New Roman"/>
          <w:b/>
          <w:bCs/>
          <w:color w:val="000000" w:themeColor="text1"/>
          <w:szCs w:val="20"/>
          <w:lang w:eastAsia="en-GB"/>
        </w:rPr>
        <w:t xml:space="preserve"> </w:t>
      </w:r>
      <w:r w:rsidR="002A6C1F" w:rsidRPr="00CD3D9C">
        <w:rPr>
          <w:rFonts w:eastAsia="Times New Roman"/>
          <w:b/>
          <w:bCs/>
          <w:color w:val="000000" w:themeColor="text1"/>
          <w:szCs w:val="20"/>
          <w:lang w:eastAsia="en-GB"/>
        </w:rPr>
        <w:t>Short t</w:t>
      </w:r>
      <w:r w:rsidR="00CB6FF3" w:rsidRPr="00CD3D9C">
        <w:rPr>
          <w:rFonts w:eastAsia="Times New Roman"/>
          <w:b/>
          <w:bCs/>
          <w:color w:val="000000" w:themeColor="text1"/>
          <w:szCs w:val="20"/>
          <w:lang w:eastAsia="en-GB"/>
        </w:rPr>
        <w:t>itle</w:t>
      </w:r>
      <w:r w:rsidR="00CB6FF3" w:rsidRPr="00CD3D9C">
        <w:rPr>
          <w:rFonts w:eastAsia="Times New Roman"/>
          <w:color w:val="000000" w:themeColor="text1"/>
          <w:szCs w:val="20"/>
          <w:lang w:eastAsia="en-GB"/>
        </w:rPr>
        <w:t xml:space="preserve"> </w:t>
      </w:r>
    </w:p>
    <w:p w14:paraId="09EA7A46" w14:textId="61C3A947" w:rsidR="009F2A4A" w:rsidRPr="00D16D22" w:rsidRDefault="009F2A4A" w:rsidP="00AC73C5">
      <w:r w:rsidRPr="00D16D22">
        <w:t>Operationalizing Integrated National Financing Framework</w:t>
      </w:r>
      <w:r w:rsidR="00FD7245">
        <w:t xml:space="preserve"> (INFF)</w:t>
      </w:r>
      <w:r w:rsidRPr="00D16D22">
        <w:t xml:space="preserve"> in the Maldives</w:t>
      </w:r>
    </w:p>
    <w:p w14:paraId="165CFA5D" w14:textId="77777777" w:rsidR="00C56B1B" w:rsidRPr="00CD3D9C" w:rsidRDefault="00C56B1B" w:rsidP="001134F6">
      <w:pPr>
        <w:rPr>
          <w:rFonts w:eastAsia="Times New Roman"/>
          <w:i/>
          <w:color w:val="000000" w:themeColor="text1"/>
          <w:szCs w:val="20"/>
          <w:lang w:eastAsia="en-GB"/>
        </w:rPr>
      </w:pPr>
    </w:p>
    <w:p w14:paraId="5BB34446" w14:textId="31F4E60D" w:rsidR="00C56B1B" w:rsidRPr="00CD3D9C" w:rsidRDefault="32BADABB" w:rsidP="66A1DF9F">
      <w:pPr>
        <w:rPr>
          <w:b/>
          <w:bCs/>
          <w:color w:val="000000" w:themeColor="text1"/>
        </w:rPr>
      </w:pPr>
      <w:r w:rsidRPr="66A1DF9F">
        <w:rPr>
          <w:b/>
          <w:bCs/>
          <w:color w:val="000000" w:themeColor="text1"/>
        </w:rPr>
        <w:t>5</w:t>
      </w:r>
      <w:r w:rsidR="2A297105" w:rsidRPr="66A1DF9F">
        <w:rPr>
          <w:b/>
          <w:bCs/>
          <w:color w:val="000000" w:themeColor="text1"/>
        </w:rPr>
        <w:t>.</w:t>
      </w:r>
      <w:r w:rsidRPr="66A1DF9F">
        <w:rPr>
          <w:b/>
          <w:bCs/>
          <w:color w:val="000000" w:themeColor="text1"/>
        </w:rPr>
        <w:t xml:space="preserve"> </w:t>
      </w:r>
      <w:r w:rsidR="4B061EBD" w:rsidRPr="66A1DF9F">
        <w:rPr>
          <w:b/>
          <w:bCs/>
          <w:color w:val="000000" w:themeColor="text1"/>
        </w:rPr>
        <w:t>Country</w:t>
      </w:r>
      <w:r w:rsidR="2C9B69AA" w:rsidRPr="66A1DF9F">
        <w:rPr>
          <w:b/>
          <w:bCs/>
          <w:color w:val="000000" w:themeColor="text1"/>
        </w:rPr>
        <w:t xml:space="preserve"> and region</w:t>
      </w:r>
      <w:r w:rsidR="1C459CCD" w:rsidRPr="66A1DF9F">
        <w:rPr>
          <w:b/>
          <w:bCs/>
          <w:color w:val="000000" w:themeColor="text1"/>
        </w:rPr>
        <w:t>:</w:t>
      </w:r>
      <w:r w:rsidR="1ADF85ED" w:rsidRPr="66A1DF9F">
        <w:rPr>
          <w:b/>
          <w:bCs/>
          <w:color w:val="000000" w:themeColor="text1"/>
        </w:rPr>
        <w:t xml:space="preserve"> </w:t>
      </w:r>
      <w:r w:rsidR="1ADF85ED" w:rsidRPr="66A1DF9F">
        <w:rPr>
          <w:color w:val="000000" w:themeColor="text1"/>
        </w:rPr>
        <w:t>Maldives, South East Asia</w:t>
      </w:r>
    </w:p>
    <w:p w14:paraId="3FF3BB7D" w14:textId="61CB9F83" w:rsidR="00CB6FF3" w:rsidRPr="00CD3D9C" w:rsidRDefault="0033450B" w:rsidP="001134F6">
      <w:pPr>
        <w:rPr>
          <w:b/>
          <w:bCs/>
          <w:iCs/>
          <w:color w:val="000000" w:themeColor="text1"/>
          <w:szCs w:val="20"/>
        </w:rPr>
      </w:pPr>
      <w:r w:rsidRPr="00CD3D9C">
        <w:rPr>
          <w:b/>
          <w:bCs/>
          <w:iCs/>
          <w:color w:val="000000" w:themeColor="text1"/>
          <w:szCs w:val="20"/>
        </w:rPr>
        <w:t xml:space="preserve"> </w:t>
      </w:r>
    </w:p>
    <w:p w14:paraId="17ADEE16" w14:textId="6AE68789" w:rsidR="000134E4" w:rsidRDefault="0033450B" w:rsidP="00AC73C5">
      <w:pPr>
        <w:rPr>
          <w:rFonts w:eastAsia="Times New Roman"/>
          <w:color w:val="000000" w:themeColor="text1"/>
          <w:szCs w:val="20"/>
          <w:lang w:eastAsia="en-GB"/>
        </w:rPr>
      </w:pPr>
      <w:r w:rsidRPr="00CD3D9C">
        <w:rPr>
          <w:rFonts w:eastAsia="Times New Roman"/>
          <w:b/>
          <w:bCs/>
          <w:color w:val="000000" w:themeColor="text1"/>
          <w:szCs w:val="20"/>
          <w:lang w:eastAsia="en-GB"/>
        </w:rPr>
        <w:t>6</w:t>
      </w:r>
      <w:r w:rsidR="002A6098" w:rsidRPr="00CD3D9C">
        <w:rPr>
          <w:rFonts w:eastAsia="Times New Roman"/>
          <w:b/>
          <w:bCs/>
          <w:color w:val="000000" w:themeColor="text1"/>
          <w:szCs w:val="20"/>
          <w:lang w:eastAsia="en-GB"/>
        </w:rPr>
        <w:t>.</w:t>
      </w:r>
      <w:r w:rsidR="000134E4" w:rsidRPr="00CD3D9C">
        <w:rPr>
          <w:rFonts w:eastAsia="Times New Roman"/>
          <w:b/>
          <w:bCs/>
          <w:color w:val="000000" w:themeColor="text1"/>
          <w:szCs w:val="20"/>
          <w:lang w:eastAsia="en-GB"/>
        </w:rPr>
        <w:t xml:space="preserve"> R</w:t>
      </w:r>
      <w:r w:rsidR="00384881" w:rsidRPr="00CD3D9C">
        <w:rPr>
          <w:rFonts w:eastAsia="Times New Roman"/>
          <w:b/>
          <w:bCs/>
          <w:color w:val="000000" w:themeColor="text1"/>
          <w:szCs w:val="20"/>
          <w:lang w:eastAsia="en-GB"/>
        </w:rPr>
        <w:t xml:space="preserve">esident </w:t>
      </w:r>
      <w:r w:rsidR="000134E4" w:rsidRPr="00CD3D9C">
        <w:rPr>
          <w:rFonts w:eastAsia="Times New Roman"/>
          <w:b/>
          <w:bCs/>
          <w:color w:val="000000" w:themeColor="text1"/>
          <w:szCs w:val="20"/>
          <w:lang w:eastAsia="en-GB"/>
        </w:rPr>
        <w:t>C</w:t>
      </w:r>
      <w:r w:rsidR="00384881" w:rsidRPr="00CD3D9C">
        <w:rPr>
          <w:rFonts w:eastAsia="Times New Roman"/>
          <w:b/>
          <w:bCs/>
          <w:color w:val="000000" w:themeColor="text1"/>
          <w:szCs w:val="20"/>
          <w:lang w:eastAsia="en-GB"/>
        </w:rPr>
        <w:t>oordinator</w:t>
      </w:r>
      <w:r w:rsidR="000134E4" w:rsidRPr="00CD3D9C">
        <w:rPr>
          <w:rFonts w:eastAsia="Times New Roman"/>
          <w:b/>
          <w:bCs/>
          <w:color w:val="000000" w:themeColor="text1"/>
          <w:szCs w:val="20"/>
          <w:lang w:eastAsia="en-GB"/>
        </w:rPr>
        <w:t xml:space="preserve"> </w:t>
      </w:r>
    </w:p>
    <w:p w14:paraId="016AB25C" w14:textId="5DD22A55" w:rsidR="00C805E2" w:rsidRDefault="00C12A9D" w:rsidP="001134F6">
      <w:pPr>
        <w:rPr>
          <w:rFonts w:eastAsia="Times New Roman"/>
          <w:color w:val="000000" w:themeColor="text1"/>
          <w:szCs w:val="20"/>
          <w:lang w:eastAsia="en-GB"/>
        </w:rPr>
      </w:pPr>
      <w:r>
        <w:rPr>
          <w:rFonts w:eastAsia="Times New Roman"/>
          <w:color w:val="000000" w:themeColor="text1"/>
          <w:szCs w:val="20"/>
          <w:lang w:eastAsia="en-GB"/>
        </w:rPr>
        <w:t xml:space="preserve">Ms. Catherine Haswell, </w:t>
      </w:r>
      <w:hyperlink r:id="rId16" w:history="1">
        <w:r w:rsidR="00C805E2" w:rsidRPr="005E4934">
          <w:rPr>
            <w:rStyle w:val="Hyperlink"/>
            <w:rFonts w:eastAsia="Times New Roman"/>
            <w:szCs w:val="20"/>
            <w:lang w:eastAsia="en-GB"/>
          </w:rPr>
          <w:t>catherine.haswell@un.org</w:t>
        </w:r>
      </w:hyperlink>
    </w:p>
    <w:p w14:paraId="7E2E0AB6" w14:textId="77777777" w:rsidR="00C56B1B" w:rsidRPr="00CD3D9C" w:rsidRDefault="00C56B1B" w:rsidP="001134F6">
      <w:pPr>
        <w:rPr>
          <w:rFonts w:eastAsia="Times New Roman"/>
          <w:color w:val="000000" w:themeColor="text1"/>
          <w:szCs w:val="20"/>
          <w:lang w:eastAsia="en-GB"/>
        </w:rPr>
      </w:pPr>
    </w:p>
    <w:p w14:paraId="0AF38513" w14:textId="28EA8A0F" w:rsidR="00817C69" w:rsidRPr="00275BC7" w:rsidRDefault="0033450B" w:rsidP="00AC73C5">
      <w:pPr>
        <w:rPr>
          <w:rFonts w:eastAsia="Times New Roman"/>
          <w:i/>
          <w:iCs/>
          <w:color w:val="C45911" w:themeColor="accent2" w:themeShade="BF"/>
          <w:szCs w:val="20"/>
          <w:lang w:val="fr-FR" w:eastAsia="en-GB"/>
        </w:rPr>
      </w:pPr>
      <w:r w:rsidRPr="00275BC7">
        <w:rPr>
          <w:rFonts w:eastAsia="Times New Roman"/>
          <w:b/>
          <w:bCs/>
          <w:color w:val="000000" w:themeColor="text1"/>
          <w:szCs w:val="20"/>
          <w:lang w:val="fr-FR" w:eastAsia="en-GB"/>
        </w:rPr>
        <w:t>7</w:t>
      </w:r>
      <w:r w:rsidR="002A6098" w:rsidRPr="00275BC7">
        <w:rPr>
          <w:rFonts w:eastAsia="Times New Roman"/>
          <w:b/>
          <w:bCs/>
          <w:color w:val="000000" w:themeColor="text1"/>
          <w:szCs w:val="20"/>
          <w:lang w:val="fr-FR" w:eastAsia="en-GB"/>
        </w:rPr>
        <w:t>.</w:t>
      </w:r>
      <w:r w:rsidR="00817C69" w:rsidRPr="00275BC7">
        <w:rPr>
          <w:rFonts w:eastAsia="Times New Roman"/>
          <w:b/>
          <w:bCs/>
          <w:color w:val="000000" w:themeColor="text1"/>
          <w:szCs w:val="20"/>
          <w:lang w:val="fr-FR" w:eastAsia="en-GB"/>
        </w:rPr>
        <w:t xml:space="preserve"> UN </w:t>
      </w:r>
      <w:r w:rsidR="00853D13" w:rsidRPr="00275BC7">
        <w:rPr>
          <w:rFonts w:eastAsia="Times New Roman"/>
          <w:b/>
          <w:bCs/>
          <w:color w:val="000000" w:themeColor="text1"/>
          <w:szCs w:val="20"/>
          <w:lang w:val="fr-FR" w:eastAsia="en-GB"/>
        </w:rPr>
        <w:t>Joint p</w:t>
      </w:r>
      <w:r w:rsidR="00817C69" w:rsidRPr="00275BC7">
        <w:rPr>
          <w:rFonts w:eastAsia="Times New Roman"/>
          <w:b/>
          <w:bCs/>
          <w:color w:val="000000" w:themeColor="text1"/>
          <w:szCs w:val="20"/>
          <w:lang w:val="fr-FR" w:eastAsia="en-GB"/>
        </w:rPr>
        <w:t>rogramme focal point</w:t>
      </w:r>
      <w:r w:rsidR="00817C69" w:rsidRPr="00275BC7">
        <w:rPr>
          <w:rFonts w:eastAsia="Times New Roman"/>
          <w:color w:val="000000" w:themeColor="text1"/>
          <w:szCs w:val="20"/>
          <w:lang w:val="fr-FR" w:eastAsia="en-GB"/>
        </w:rPr>
        <w:t xml:space="preserve"> </w:t>
      </w:r>
    </w:p>
    <w:p w14:paraId="1B85D575" w14:textId="1A9B6478" w:rsidR="00AC73C5" w:rsidRDefault="6DEAFB0A" w:rsidP="66A1DF9F">
      <w:pPr>
        <w:rPr>
          <w:rFonts w:eastAsia="Times New Roman"/>
          <w:lang w:val="fr-FR" w:eastAsia="en-GB"/>
        </w:rPr>
      </w:pPr>
      <w:r w:rsidRPr="66A1DF9F">
        <w:rPr>
          <w:rFonts w:eastAsia="Times New Roman"/>
          <w:lang w:val="fr-FR" w:eastAsia="en-GB"/>
        </w:rPr>
        <w:t xml:space="preserve">Ms. </w:t>
      </w:r>
      <w:r w:rsidR="01F390B6" w:rsidRPr="66A1DF9F">
        <w:rPr>
          <w:rFonts w:eastAsia="Times New Roman"/>
          <w:lang w:val="fr-FR" w:eastAsia="en-GB"/>
        </w:rPr>
        <w:t>Aminath Shaliny</w:t>
      </w:r>
      <w:r w:rsidRPr="66A1DF9F">
        <w:rPr>
          <w:rFonts w:eastAsia="Times New Roman"/>
          <w:lang w:val="fr-FR" w:eastAsia="en-GB"/>
        </w:rPr>
        <w:t xml:space="preserve">, RC Office, </w:t>
      </w:r>
      <w:hyperlink r:id="rId17">
        <w:r w:rsidR="01F390B6" w:rsidRPr="66A1DF9F">
          <w:rPr>
            <w:rStyle w:val="Hyperlink"/>
            <w:lang w:val="fr-FR"/>
          </w:rPr>
          <w:t>aminath.shaliny@un.org</w:t>
        </w:r>
      </w:hyperlink>
      <w:r w:rsidRPr="66A1DF9F">
        <w:rPr>
          <w:rFonts w:eastAsia="Times New Roman"/>
          <w:lang w:val="fr-FR" w:eastAsia="en-GB"/>
        </w:rPr>
        <w:t xml:space="preserve"> </w:t>
      </w:r>
    </w:p>
    <w:p w14:paraId="566A1B58" w14:textId="4B259B80" w:rsidR="00C805E2" w:rsidRDefault="00C805E2" w:rsidP="00AC73C5">
      <w:pPr>
        <w:rPr>
          <w:rFonts w:eastAsia="Times New Roman"/>
          <w:szCs w:val="20"/>
          <w:lang w:val="fr-FR" w:eastAsia="en-GB"/>
        </w:rPr>
      </w:pPr>
    </w:p>
    <w:p w14:paraId="1EBD4379" w14:textId="77777777" w:rsidR="00C805E2" w:rsidRPr="00CD3D9C" w:rsidRDefault="00C805E2" w:rsidP="00C805E2">
      <w:pPr>
        <w:rPr>
          <w:rFonts w:eastAsia="Times New Roman"/>
          <w:color w:val="000000" w:themeColor="text1"/>
          <w:szCs w:val="20"/>
          <w:lang w:eastAsia="en-GB"/>
        </w:rPr>
      </w:pPr>
      <w:r>
        <w:rPr>
          <w:bCs/>
          <w:szCs w:val="20"/>
        </w:rPr>
        <w:t xml:space="preserve">Ms. </w:t>
      </w:r>
      <w:r w:rsidRPr="00D013CA">
        <w:rPr>
          <w:bCs/>
          <w:szCs w:val="20"/>
        </w:rPr>
        <w:t>Adji Vera Romana Hakim</w:t>
      </w:r>
      <w:r>
        <w:rPr>
          <w:bCs/>
          <w:szCs w:val="20"/>
        </w:rPr>
        <w:t xml:space="preserve">, </w:t>
      </w:r>
      <w:hyperlink r:id="rId18" w:history="1">
        <w:r w:rsidRPr="00B323A8">
          <w:rPr>
            <w:rStyle w:val="Hyperlink"/>
            <w:bCs/>
            <w:szCs w:val="20"/>
          </w:rPr>
          <w:t>vera.hakim@undp.org</w:t>
        </w:r>
      </w:hyperlink>
    </w:p>
    <w:p w14:paraId="45CA9D7B" w14:textId="77777777" w:rsidR="004C32CB" w:rsidRPr="00275BC7" w:rsidRDefault="004C32CB" w:rsidP="001134F6">
      <w:pPr>
        <w:rPr>
          <w:rFonts w:eastAsia="Times New Roman"/>
          <w:color w:val="000000" w:themeColor="text1"/>
          <w:szCs w:val="20"/>
          <w:u w:val="single"/>
          <w:lang w:val="fr-FR" w:eastAsia="en-GB"/>
        </w:rPr>
      </w:pPr>
    </w:p>
    <w:p w14:paraId="614DC622" w14:textId="07D45E14" w:rsidR="00817C69" w:rsidRDefault="2C9B69AA" w:rsidP="66A1DF9F">
      <w:pPr>
        <w:rPr>
          <w:rFonts w:eastAsia="Times New Roman"/>
          <w:i/>
          <w:iCs/>
          <w:color w:val="C45911" w:themeColor="accent2" w:themeShade="BF"/>
          <w:lang w:eastAsia="en-GB"/>
        </w:rPr>
      </w:pPr>
      <w:r w:rsidRPr="66A1DF9F">
        <w:rPr>
          <w:rFonts w:eastAsia="Times New Roman"/>
          <w:b/>
          <w:bCs/>
          <w:color w:val="000000" w:themeColor="text1"/>
          <w:lang w:eastAsia="en-GB"/>
        </w:rPr>
        <w:t>8</w:t>
      </w:r>
      <w:r w:rsidR="2A297105" w:rsidRPr="66A1DF9F">
        <w:rPr>
          <w:rFonts w:eastAsia="Times New Roman"/>
          <w:b/>
          <w:bCs/>
          <w:color w:val="000000" w:themeColor="text1"/>
          <w:lang w:eastAsia="en-GB"/>
        </w:rPr>
        <w:t>.</w:t>
      </w:r>
      <w:r w:rsidR="7BD790F3" w:rsidRPr="66A1DF9F">
        <w:rPr>
          <w:rFonts w:eastAsia="Times New Roman"/>
          <w:b/>
          <w:bCs/>
          <w:color w:val="000000" w:themeColor="text1"/>
          <w:lang w:eastAsia="en-GB"/>
        </w:rPr>
        <w:t xml:space="preserve"> Government </w:t>
      </w:r>
      <w:r w:rsidR="44F3EE1B" w:rsidRPr="66A1DF9F">
        <w:rPr>
          <w:rFonts w:eastAsia="Times New Roman"/>
          <w:b/>
          <w:bCs/>
          <w:color w:val="000000" w:themeColor="text1"/>
          <w:lang w:eastAsia="en-GB"/>
        </w:rPr>
        <w:t xml:space="preserve">Joint </w:t>
      </w:r>
      <w:r w:rsidR="7BD790F3" w:rsidRPr="66A1DF9F">
        <w:rPr>
          <w:rFonts w:eastAsia="Times New Roman"/>
          <w:b/>
          <w:bCs/>
          <w:color w:val="000000" w:themeColor="text1"/>
          <w:lang w:eastAsia="en-GB"/>
        </w:rPr>
        <w:t>Programme focal point</w:t>
      </w:r>
      <w:r w:rsidR="44F3EE1B" w:rsidRPr="66A1DF9F">
        <w:rPr>
          <w:rFonts w:eastAsia="Times New Roman"/>
          <w:color w:val="000000" w:themeColor="text1"/>
          <w:lang w:eastAsia="en-GB"/>
        </w:rPr>
        <w:t xml:space="preserve"> </w:t>
      </w:r>
    </w:p>
    <w:p w14:paraId="46145995" w14:textId="4E2836D4" w:rsidR="00C12A9D" w:rsidRPr="00D16D22" w:rsidRDefault="6DEAFB0A" w:rsidP="00AC73C5">
      <w:pPr>
        <w:rPr>
          <w:color w:val="C45911" w:themeColor="accent2" w:themeShade="BF"/>
        </w:rPr>
      </w:pPr>
      <w:r w:rsidRPr="66A1DF9F">
        <w:rPr>
          <w:rFonts w:eastAsia="Times New Roman"/>
          <w:lang w:eastAsia="en-GB"/>
        </w:rPr>
        <w:t xml:space="preserve">Ms. Mariyam Manarath Muneer, Ministry of Finance, </w:t>
      </w:r>
      <w:hyperlink r:id="rId19">
        <w:r w:rsidRPr="66A1DF9F">
          <w:rPr>
            <w:rStyle w:val="Hyperlink"/>
            <w:rFonts w:eastAsia="Times New Roman"/>
            <w:lang w:eastAsia="en-GB"/>
          </w:rPr>
          <w:t>mariyam.manarath@finance.gov.mv</w:t>
        </w:r>
      </w:hyperlink>
      <w:r w:rsidRPr="66A1DF9F">
        <w:rPr>
          <w:rFonts w:eastAsia="Times New Roman"/>
          <w:color w:val="C45911" w:themeColor="accent2" w:themeShade="BF"/>
          <w:lang w:eastAsia="en-GB"/>
        </w:rPr>
        <w:t xml:space="preserve"> </w:t>
      </w:r>
    </w:p>
    <w:p w14:paraId="47A50E91" w14:textId="77777777" w:rsidR="004C32CB" w:rsidRPr="00CD3D9C" w:rsidRDefault="004C32CB" w:rsidP="001134F6">
      <w:pPr>
        <w:rPr>
          <w:rFonts w:eastAsia="Times New Roman"/>
          <w:color w:val="000000" w:themeColor="text1"/>
          <w:szCs w:val="20"/>
          <w:u w:val="single"/>
          <w:lang w:eastAsia="en-GB"/>
        </w:rPr>
      </w:pPr>
    </w:p>
    <w:p w14:paraId="2CD3F104" w14:textId="4E0AC2C4" w:rsidR="00C12A9D" w:rsidRPr="00CD3D9C" w:rsidRDefault="002A6C1F" w:rsidP="001134F6">
      <w:pPr>
        <w:rPr>
          <w:rFonts w:eastAsia="Times New Roman"/>
          <w:i/>
          <w:color w:val="C45911" w:themeColor="accent2" w:themeShade="BF"/>
          <w:szCs w:val="20"/>
          <w:lang w:eastAsia="en-GB"/>
        </w:rPr>
      </w:pPr>
      <w:r w:rsidRPr="00CD3D9C">
        <w:rPr>
          <w:rFonts w:eastAsia="Times New Roman"/>
          <w:b/>
          <w:bCs/>
          <w:color w:val="000000" w:themeColor="text1"/>
          <w:szCs w:val="20"/>
          <w:lang w:eastAsia="en-GB"/>
        </w:rPr>
        <w:t xml:space="preserve">9. </w:t>
      </w:r>
      <w:r w:rsidR="00384881" w:rsidRPr="00CD3D9C">
        <w:rPr>
          <w:rFonts w:eastAsia="Times New Roman"/>
          <w:b/>
          <w:bCs/>
          <w:color w:val="000000" w:themeColor="text1"/>
          <w:szCs w:val="20"/>
          <w:lang w:eastAsia="en-GB"/>
        </w:rPr>
        <w:t>Short d</w:t>
      </w:r>
      <w:r w:rsidRPr="00CD3D9C">
        <w:rPr>
          <w:rFonts w:eastAsia="Times New Roman"/>
          <w:b/>
          <w:bCs/>
          <w:color w:val="000000" w:themeColor="text1"/>
          <w:szCs w:val="20"/>
          <w:lang w:eastAsia="en-GB"/>
        </w:rPr>
        <w:t>escription</w:t>
      </w:r>
      <w:r w:rsidRPr="00CD3D9C">
        <w:rPr>
          <w:rFonts w:eastAsia="Times New Roman"/>
          <w:color w:val="000000" w:themeColor="text1"/>
          <w:szCs w:val="20"/>
          <w:lang w:eastAsia="en-GB"/>
        </w:rPr>
        <w:t>:</w:t>
      </w:r>
      <w:r w:rsidRPr="00CD3D9C">
        <w:rPr>
          <w:rFonts w:eastAsia="Times New Roman"/>
          <w:i/>
          <w:color w:val="000000" w:themeColor="text1"/>
          <w:szCs w:val="20"/>
          <w:lang w:eastAsia="en-GB"/>
        </w:rPr>
        <w:t xml:space="preserve"> </w:t>
      </w:r>
    </w:p>
    <w:p w14:paraId="24B3715B" w14:textId="464A5D01" w:rsidR="004C32CB" w:rsidRDefault="55ED29BC" w:rsidP="00D46423">
      <w:r>
        <w:t xml:space="preserve">This Joint Programme </w:t>
      </w:r>
      <w:r w:rsidR="15C73AC1">
        <w:t xml:space="preserve">contributes to the operationalizing </w:t>
      </w:r>
      <w:r w:rsidR="4E445C87">
        <w:t>of an</w:t>
      </w:r>
      <w:r w:rsidR="15C73AC1">
        <w:t xml:space="preserve"> Integrated National Financing Framework (INFF) </w:t>
      </w:r>
      <w:r w:rsidR="4E445C87">
        <w:t>process in the Maldives. The</w:t>
      </w:r>
      <w:r w:rsidR="37D7D028">
        <w:t xml:space="preserve"> JP</w:t>
      </w:r>
      <w:r w:rsidR="4E445C87">
        <w:t xml:space="preserve"> seeks to (a) strengthen the core system of governance of planning and financing and (b) to mobilize and improve the targeting of financing towards two long term development priorities. The two development priorities are (i) climate action and (ii) reforms required to deliver quality, equitable, gender responsive and sustainable social services. The overall goal is that the population benefits from increased climate resilience and quality social services.</w:t>
      </w:r>
    </w:p>
    <w:p w14:paraId="7B100279" w14:textId="303BCEAC" w:rsidR="006C2A43" w:rsidRDefault="006C2A43" w:rsidP="007D1714">
      <w:pPr>
        <w:jc w:val="both"/>
        <w:rPr>
          <w:szCs w:val="20"/>
        </w:rPr>
      </w:pPr>
    </w:p>
    <w:p w14:paraId="144B1C69" w14:textId="1C051759" w:rsidR="006C2A43" w:rsidRPr="00CD3D9C" w:rsidRDefault="006C2A43" w:rsidP="006C2A43">
      <w:pPr>
        <w:rPr>
          <w:szCs w:val="20"/>
        </w:rPr>
      </w:pPr>
      <w:r w:rsidRPr="00CD3D9C">
        <w:rPr>
          <w:szCs w:val="20"/>
        </w:rPr>
        <w:t>Complementing the</w:t>
      </w:r>
      <w:r w:rsidR="00632A65">
        <w:rPr>
          <w:szCs w:val="20"/>
        </w:rPr>
        <w:t xml:space="preserve"> ongoing</w:t>
      </w:r>
      <w:r w:rsidRPr="00CD3D9C">
        <w:rPr>
          <w:szCs w:val="20"/>
        </w:rPr>
        <w:t xml:space="preserve"> </w:t>
      </w:r>
      <w:r w:rsidR="00632A65">
        <w:rPr>
          <w:szCs w:val="20"/>
        </w:rPr>
        <w:t>Development Finance Assessment (DFA)</w:t>
      </w:r>
      <w:r w:rsidRPr="00CD3D9C">
        <w:rPr>
          <w:szCs w:val="20"/>
        </w:rPr>
        <w:t>, the JP will support financing needs assessments and costing exercises</w:t>
      </w:r>
      <w:r>
        <w:rPr>
          <w:szCs w:val="20"/>
        </w:rPr>
        <w:t xml:space="preserve"> </w:t>
      </w:r>
      <w:r w:rsidRPr="00CD3D9C">
        <w:rPr>
          <w:szCs w:val="20"/>
        </w:rPr>
        <w:t xml:space="preserve">to estimate the </w:t>
      </w:r>
      <w:r>
        <w:rPr>
          <w:szCs w:val="20"/>
        </w:rPr>
        <w:t xml:space="preserve">SDG </w:t>
      </w:r>
      <w:r w:rsidRPr="00CD3D9C">
        <w:rPr>
          <w:szCs w:val="20"/>
        </w:rPr>
        <w:t>financing gap</w:t>
      </w:r>
      <w:r>
        <w:rPr>
          <w:szCs w:val="20"/>
        </w:rPr>
        <w:t xml:space="preserve"> taking account the impact of the ongoing Covid-19 crisis on the Maldives SDGs. </w:t>
      </w:r>
      <w:r w:rsidRPr="00CD3D9C">
        <w:rPr>
          <w:szCs w:val="20"/>
        </w:rPr>
        <w:t xml:space="preserve">The JP will </w:t>
      </w:r>
      <w:r w:rsidR="00D46423">
        <w:rPr>
          <w:szCs w:val="20"/>
        </w:rPr>
        <w:t xml:space="preserve">also </w:t>
      </w:r>
      <w:r w:rsidRPr="00CD3D9C">
        <w:rPr>
          <w:szCs w:val="20"/>
        </w:rPr>
        <w:t>consolidate t</w:t>
      </w:r>
      <w:r w:rsidR="00D46423">
        <w:rPr>
          <w:szCs w:val="20"/>
        </w:rPr>
        <w:t>he</w:t>
      </w:r>
      <w:r w:rsidR="00632A65">
        <w:rPr>
          <w:szCs w:val="20"/>
        </w:rPr>
        <w:t xml:space="preserve"> existing</w:t>
      </w:r>
      <w:r w:rsidR="00D46423">
        <w:rPr>
          <w:szCs w:val="20"/>
        </w:rPr>
        <w:t xml:space="preserve"> </w:t>
      </w:r>
      <w:r w:rsidRPr="00CD3D9C">
        <w:rPr>
          <w:szCs w:val="20"/>
        </w:rPr>
        <w:t>institutional arrangement</w:t>
      </w:r>
      <w:r w:rsidR="00632A65">
        <w:rPr>
          <w:szCs w:val="20"/>
        </w:rPr>
        <w:t>s</w:t>
      </w:r>
      <w:r w:rsidRPr="00CD3D9C">
        <w:rPr>
          <w:szCs w:val="20"/>
        </w:rPr>
        <w:t xml:space="preserve"> into a full-fledged</w:t>
      </w:r>
      <w:r>
        <w:rPr>
          <w:szCs w:val="20"/>
        </w:rPr>
        <w:t>, gender balanced,</w:t>
      </w:r>
      <w:r w:rsidRPr="00CD3D9C">
        <w:rPr>
          <w:szCs w:val="20"/>
        </w:rPr>
        <w:t xml:space="preserve"> INFF Oversight Committee. The JP will support capacity building for the INFF oversight committee to strengthen the core functions and to improve its effectiveness</w:t>
      </w:r>
      <w:r>
        <w:rPr>
          <w:szCs w:val="20"/>
        </w:rPr>
        <w:t>.</w:t>
      </w:r>
      <w:r w:rsidRPr="00CD3D9C">
        <w:rPr>
          <w:szCs w:val="20"/>
        </w:rPr>
        <w:t xml:space="preserve"> </w:t>
      </w:r>
    </w:p>
    <w:p w14:paraId="3BCEFC46" w14:textId="77777777" w:rsidR="007D1714" w:rsidRPr="00CD3D9C" w:rsidRDefault="007D1714" w:rsidP="007D1714">
      <w:pPr>
        <w:jc w:val="both"/>
        <w:rPr>
          <w:rFonts w:eastAsia="Times New Roman"/>
          <w:color w:val="000000" w:themeColor="text1"/>
          <w:szCs w:val="20"/>
          <w:lang w:eastAsia="en-GB"/>
        </w:rPr>
      </w:pPr>
    </w:p>
    <w:p w14:paraId="0B6B413A" w14:textId="0DDEC2A1" w:rsidR="002A6C1F" w:rsidRDefault="00384881" w:rsidP="001134F6">
      <w:pPr>
        <w:rPr>
          <w:rFonts w:eastAsia="Times New Roman"/>
          <w:i/>
          <w:color w:val="C45911" w:themeColor="accent2" w:themeShade="BF"/>
          <w:szCs w:val="20"/>
          <w:lang w:eastAsia="en-GB"/>
        </w:rPr>
      </w:pPr>
      <w:r w:rsidRPr="00CD3D9C">
        <w:rPr>
          <w:rFonts w:eastAsia="Times New Roman"/>
          <w:b/>
          <w:bCs/>
          <w:color w:val="000000" w:themeColor="text1"/>
          <w:szCs w:val="20"/>
          <w:lang w:eastAsia="en-GB"/>
        </w:rPr>
        <w:t xml:space="preserve">10. </w:t>
      </w:r>
      <w:r w:rsidR="002A6C1F" w:rsidRPr="00CD3D9C">
        <w:rPr>
          <w:rFonts w:eastAsia="Times New Roman"/>
          <w:b/>
          <w:bCs/>
          <w:color w:val="000000" w:themeColor="text1"/>
          <w:szCs w:val="20"/>
          <w:lang w:eastAsia="en-GB"/>
        </w:rPr>
        <w:t>Keywords:</w:t>
      </w:r>
      <w:r w:rsidRPr="00CD3D9C">
        <w:rPr>
          <w:rFonts w:eastAsia="Times New Roman"/>
          <w:b/>
          <w:bCs/>
          <w:color w:val="000000" w:themeColor="text1"/>
          <w:szCs w:val="20"/>
          <w:lang w:eastAsia="en-GB"/>
        </w:rPr>
        <w:t xml:space="preserve"> </w:t>
      </w:r>
    </w:p>
    <w:p w14:paraId="58F6BB12" w14:textId="77777777" w:rsidR="007963EC" w:rsidRDefault="00C12A9D" w:rsidP="00B103AE">
      <w:r w:rsidRPr="00D16D22">
        <w:t xml:space="preserve">INFF, </w:t>
      </w:r>
    </w:p>
    <w:p w14:paraId="461760FD" w14:textId="77777777" w:rsidR="007963EC" w:rsidRDefault="00C12A9D" w:rsidP="00B103AE">
      <w:r w:rsidRPr="00D16D22">
        <w:t xml:space="preserve">Financing Strategy, </w:t>
      </w:r>
    </w:p>
    <w:p w14:paraId="6D570A7C" w14:textId="77777777" w:rsidR="007963EC" w:rsidRDefault="00C12A9D" w:rsidP="00B103AE">
      <w:r w:rsidRPr="00D16D22">
        <w:t xml:space="preserve">Climate Finance, </w:t>
      </w:r>
    </w:p>
    <w:p w14:paraId="335E725A" w14:textId="77777777" w:rsidR="007963EC" w:rsidRDefault="00C12A9D" w:rsidP="00B103AE">
      <w:r w:rsidRPr="00D16D22">
        <w:t xml:space="preserve">Social Equity, </w:t>
      </w:r>
    </w:p>
    <w:p w14:paraId="7735D70E" w14:textId="77777777" w:rsidR="007963EC" w:rsidRDefault="00C12A9D" w:rsidP="00B103AE">
      <w:pPr>
        <w:rPr>
          <w:rFonts w:eastAsia="Times New Roman"/>
          <w:iCs/>
          <w:szCs w:val="20"/>
          <w:lang w:eastAsia="en-GB"/>
        </w:rPr>
      </w:pPr>
      <w:r w:rsidRPr="00D16D22">
        <w:t>LNOB</w:t>
      </w:r>
      <w:r w:rsidR="00B103AE">
        <w:rPr>
          <w:rFonts w:eastAsia="Times New Roman"/>
          <w:iCs/>
          <w:szCs w:val="20"/>
          <w:lang w:eastAsia="en-GB"/>
        </w:rPr>
        <w:t xml:space="preserve">, </w:t>
      </w:r>
    </w:p>
    <w:p w14:paraId="6CEC47D7" w14:textId="77777777" w:rsidR="007963EC" w:rsidRDefault="00B103AE" w:rsidP="00B103AE">
      <w:pPr>
        <w:rPr>
          <w:rFonts w:eastAsia="Times New Roman"/>
          <w:iCs/>
          <w:szCs w:val="20"/>
          <w:lang w:eastAsia="en-GB"/>
        </w:rPr>
      </w:pPr>
      <w:r>
        <w:rPr>
          <w:rFonts w:eastAsia="Times New Roman"/>
          <w:iCs/>
          <w:szCs w:val="20"/>
          <w:lang w:eastAsia="en-GB"/>
        </w:rPr>
        <w:lastRenderedPageBreak/>
        <w:t>DFA</w:t>
      </w:r>
      <w:r w:rsidR="004E5F95">
        <w:rPr>
          <w:rFonts w:eastAsia="Times New Roman"/>
          <w:iCs/>
          <w:szCs w:val="20"/>
          <w:lang w:eastAsia="en-GB"/>
        </w:rPr>
        <w:t xml:space="preserve">, </w:t>
      </w:r>
    </w:p>
    <w:p w14:paraId="1A32CC25" w14:textId="77777777" w:rsidR="00545700" w:rsidRDefault="00545700" w:rsidP="001134F6">
      <w:pPr>
        <w:rPr>
          <w:sz w:val="18"/>
        </w:rPr>
      </w:pPr>
      <w:r>
        <w:rPr>
          <w:rFonts w:eastAsia="Times New Roman"/>
          <w:iCs/>
          <w:szCs w:val="20"/>
          <w:lang w:eastAsia="en-GB"/>
        </w:rPr>
        <w:t>Equality</w:t>
      </w:r>
    </w:p>
    <w:p w14:paraId="594309DB" w14:textId="7762891B" w:rsidR="002C139E" w:rsidRPr="00545700" w:rsidRDefault="002A6C1F" w:rsidP="001134F6">
      <w:pPr>
        <w:rPr>
          <w:sz w:val="18"/>
        </w:rPr>
      </w:pPr>
      <w:r w:rsidRPr="00CD3D9C">
        <w:rPr>
          <w:rFonts w:eastAsia="Times New Roman"/>
          <w:b/>
          <w:bCs/>
          <w:color w:val="000000" w:themeColor="text1"/>
          <w:szCs w:val="20"/>
          <w:lang w:eastAsia="en-GB"/>
        </w:rPr>
        <w:t>1</w:t>
      </w:r>
      <w:r w:rsidR="00722BA0" w:rsidRPr="00CD3D9C">
        <w:rPr>
          <w:rFonts w:eastAsia="Times New Roman"/>
          <w:b/>
          <w:bCs/>
          <w:color w:val="000000" w:themeColor="text1"/>
          <w:szCs w:val="20"/>
          <w:lang w:eastAsia="en-GB"/>
        </w:rPr>
        <w:t>1</w:t>
      </w:r>
      <w:r w:rsidRPr="00CD3D9C">
        <w:rPr>
          <w:rFonts w:eastAsia="Times New Roman"/>
          <w:b/>
          <w:bCs/>
          <w:color w:val="000000" w:themeColor="text1"/>
          <w:szCs w:val="20"/>
          <w:lang w:eastAsia="en-GB"/>
        </w:rPr>
        <w:t xml:space="preserve">. </w:t>
      </w:r>
      <w:r w:rsidR="00722BA0" w:rsidRPr="00CD3D9C">
        <w:rPr>
          <w:rFonts w:eastAsia="Times New Roman"/>
          <w:b/>
          <w:bCs/>
          <w:color w:val="000000" w:themeColor="text1"/>
          <w:szCs w:val="20"/>
          <w:lang w:eastAsia="en-GB"/>
        </w:rPr>
        <w:t>Overview of budget</w:t>
      </w:r>
      <w:r w:rsidR="004C32CB" w:rsidRPr="00CD3D9C">
        <w:rPr>
          <w:rFonts w:eastAsia="Times New Roman"/>
          <w:b/>
          <w:bCs/>
          <w:color w:val="000000" w:themeColor="text1"/>
          <w:szCs w:val="20"/>
          <w:lang w:eastAsia="en-GB"/>
        </w:rPr>
        <w:t xml:space="preserve"> </w:t>
      </w:r>
    </w:p>
    <w:p w14:paraId="17D5475D" w14:textId="77777777" w:rsidR="004C32CB" w:rsidRPr="00CD3D9C" w:rsidRDefault="004C32CB" w:rsidP="001134F6">
      <w:pPr>
        <w:contextualSpacing/>
        <w:rPr>
          <w:rFonts w:eastAsia="Times New Roman"/>
          <w:color w:val="000000" w:themeColor="text1"/>
          <w:szCs w:val="20"/>
          <w:lang w:eastAsia="en-GB"/>
        </w:rPr>
      </w:pPr>
    </w:p>
    <w:tbl>
      <w:tblPr>
        <w:tblStyle w:val="TableGrid"/>
        <w:tblW w:w="7375" w:type="dxa"/>
        <w:tblLook w:val="04A0" w:firstRow="1" w:lastRow="0" w:firstColumn="1" w:lastColumn="0" w:noHBand="0" w:noVBand="1"/>
      </w:tblPr>
      <w:tblGrid>
        <w:gridCol w:w="4585"/>
        <w:gridCol w:w="2790"/>
      </w:tblGrid>
      <w:tr w:rsidR="002A6C1F" w:rsidRPr="00CD3D9C" w14:paraId="54F5532E" w14:textId="77777777" w:rsidTr="008B7FA2">
        <w:tc>
          <w:tcPr>
            <w:tcW w:w="4585" w:type="dxa"/>
          </w:tcPr>
          <w:p w14:paraId="150E488F" w14:textId="77777777" w:rsidR="002A6C1F" w:rsidRPr="00CD3D9C" w:rsidRDefault="002A6C1F" w:rsidP="001134F6">
            <w:pPr>
              <w:contextualSpacing/>
              <w:rPr>
                <w:rFonts w:eastAsia="Times New Roman"/>
                <w:b/>
                <w:bCs/>
                <w:color w:val="000000" w:themeColor="text1"/>
                <w:szCs w:val="20"/>
                <w:lang w:eastAsia="en-GB"/>
              </w:rPr>
            </w:pPr>
            <w:r w:rsidRPr="00CD3D9C">
              <w:rPr>
                <w:rFonts w:eastAsia="Times New Roman"/>
                <w:b/>
                <w:bCs/>
                <w:color w:val="000000" w:themeColor="text1"/>
                <w:szCs w:val="20"/>
                <w:lang w:eastAsia="en-GB"/>
              </w:rPr>
              <w:t xml:space="preserve">Joint SDG Fund contribution </w:t>
            </w:r>
          </w:p>
        </w:tc>
        <w:tc>
          <w:tcPr>
            <w:tcW w:w="2790" w:type="dxa"/>
            <w:vAlign w:val="center"/>
          </w:tcPr>
          <w:p w14:paraId="600257F6" w14:textId="6867FB68" w:rsidR="002A6C1F" w:rsidRPr="00CD3D9C" w:rsidRDefault="002A6C1F" w:rsidP="001134F6">
            <w:pPr>
              <w:contextualSpacing/>
              <w:jc w:val="right"/>
              <w:rPr>
                <w:rFonts w:eastAsia="Times New Roman"/>
                <w:color w:val="000000" w:themeColor="text1"/>
                <w:szCs w:val="20"/>
                <w:lang w:eastAsia="en-GB"/>
              </w:rPr>
            </w:pPr>
            <w:r w:rsidRPr="00CD3D9C">
              <w:rPr>
                <w:rFonts w:eastAsia="Times New Roman"/>
                <w:b/>
                <w:color w:val="000000" w:themeColor="text1"/>
                <w:szCs w:val="20"/>
                <w:lang w:eastAsia="en-GB"/>
              </w:rPr>
              <w:t>USD ,</w:t>
            </w:r>
            <w:r w:rsidR="003941E4">
              <w:t xml:space="preserve"> </w:t>
            </w:r>
            <w:r w:rsidR="006655E8" w:rsidRPr="006655E8">
              <w:rPr>
                <w:rFonts w:eastAsia="Times New Roman"/>
                <w:b/>
                <w:color w:val="000000" w:themeColor="text1"/>
                <w:szCs w:val="20"/>
                <w:lang w:eastAsia="en-GB"/>
              </w:rPr>
              <w:t>931</w:t>
            </w:r>
            <w:r w:rsidR="006655E8">
              <w:rPr>
                <w:rFonts w:eastAsia="Times New Roman"/>
                <w:b/>
                <w:color w:val="000000" w:themeColor="text1"/>
                <w:szCs w:val="20"/>
                <w:lang w:eastAsia="en-GB"/>
              </w:rPr>
              <w:t>,</w:t>
            </w:r>
            <w:r w:rsidR="006655E8" w:rsidRPr="006655E8">
              <w:rPr>
                <w:rFonts w:eastAsia="Times New Roman"/>
                <w:b/>
                <w:color w:val="000000" w:themeColor="text1"/>
                <w:szCs w:val="20"/>
                <w:lang w:eastAsia="en-GB"/>
              </w:rPr>
              <w:t>634.02</w:t>
            </w:r>
          </w:p>
        </w:tc>
      </w:tr>
      <w:tr w:rsidR="002A6C1F" w:rsidRPr="00CD3D9C" w14:paraId="0FC05146" w14:textId="77777777" w:rsidTr="008B7FA2">
        <w:tc>
          <w:tcPr>
            <w:tcW w:w="4585" w:type="dxa"/>
          </w:tcPr>
          <w:p w14:paraId="6284EB3E" w14:textId="04CA6B69" w:rsidR="002A6C1F" w:rsidRPr="00CD3D9C" w:rsidRDefault="002A6C1F" w:rsidP="001134F6">
            <w:pPr>
              <w:contextualSpacing/>
              <w:rPr>
                <w:rFonts w:eastAsia="Times New Roman"/>
                <w:color w:val="000000" w:themeColor="text1"/>
                <w:szCs w:val="20"/>
                <w:lang w:eastAsia="en-GB"/>
              </w:rPr>
            </w:pPr>
            <w:r w:rsidRPr="00CD3D9C">
              <w:rPr>
                <w:rFonts w:eastAsia="Times New Roman"/>
                <w:color w:val="000000" w:themeColor="text1"/>
                <w:szCs w:val="20"/>
                <w:lang w:eastAsia="en-GB"/>
              </w:rPr>
              <w:t xml:space="preserve">Co-funding </w:t>
            </w:r>
            <w:r w:rsidR="00416547">
              <w:rPr>
                <w:rFonts w:eastAsia="Times New Roman"/>
                <w:color w:val="000000" w:themeColor="text1"/>
                <w:szCs w:val="20"/>
                <w:lang w:eastAsia="en-GB"/>
              </w:rPr>
              <w:t>PUNO Contribution</w:t>
            </w:r>
          </w:p>
        </w:tc>
        <w:tc>
          <w:tcPr>
            <w:tcW w:w="2790" w:type="dxa"/>
            <w:vAlign w:val="center"/>
          </w:tcPr>
          <w:p w14:paraId="20419A11" w14:textId="28783B8D" w:rsidR="002A6C1F" w:rsidRPr="00CD3D9C" w:rsidRDefault="002A6C1F" w:rsidP="001134F6">
            <w:pPr>
              <w:contextualSpacing/>
              <w:jc w:val="right"/>
              <w:rPr>
                <w:rFonts w:eastAsia="Times New Roman"/>
                <w:color w:val="000000" w:themeColor="text1"/>
                <w:szCs w:val="20"/>
                <w:lang w:eastAsia="en-GB"/>
              </w:rPr>
            </w:pPr>
            <w:r w:rsidRPr="00CD3D9C">
              <w:rPr>
                <w:rFonts w:eastAsia="Times New Roman"/>
                <w:color w:val="000000" w:themeColor="text1"/>
                <w:szCs w:val="20"/>
                <w:lang w:eastAsia="en-GB"/>
              </w:rPr>
              <w:t>USD ,</w:t>
            </w:r>
            <w:r w:rsidR="003941E4">
              <w:t xml:space="preserve"> </w:t>
            </w:r>
            <w:r w:rsidR="006655E8" w:rsidRPr="006655E8">
              <w:rPr>
                <w:rFonts w:eastAsia="Times New Roman"/>
                <w:color w:val="000000" w:themeColor="text1"/>
                <w:szCs w:val="20"/>
                <w:lang w:eastAsia="en-GB"/>
              </w:rPr>
              <w:t>540</w:t>
            </w:r>
            <w:r w:rsidR="006655E8">
              <w:rPr>
                <w:rFonts w:eastAsia="Times New Roman"/>
                <w:color w:val="000000" w:themeColor="text1"/>
                <w:szCs w:val="20"/>
                <w:lang w:eastAsia="en-GB"/>
              </w:rPr>
              <w:t>,</w:t>
            </w:r>
            <w:r w:rsidR="006655E8" w:rsidRPr="006655E8">
              <w:rPr>
                <w:rFonts w:eastAsia="Times New Roman"/>
                <w:color w:val="000000" w:themeColor="text1"/>
                <w:szCs w:val="20"/>
                <w:lang w:eastAsia="en-GB"/>
              </w:rPr>
              <w:t>900</w:t>
            </w:r>
          </w:p>
        </w:tc>
      </w:tr>
      <w:tr w:rsidR="002A6C1F" w:rsidRPr="00CD3D9C" w14:paraId="21EA32AF" w14:textId="77777777" w:rsidTr="008B7FA2">
        <w:tc>
          <w:tcPr>
            <w:tcW w:w="4585" w:type="dxa"/>
          </w:tcPr>
          <w:p w14:paraId="6DBA0EC0" w14:textId="77777777" w:rsidR="002A6C1F" w:rsidRPr="00CD3D9C" w:rsidRDefault="002A6C1F" w:rsidP="001134F6">
            <w:pPr>
              <w:contextualSpacing/>
              <w:rPr>
                <w:rFonts w:eastAsia="Times New Roman"/>
                <w:b/>
                <w:color w:val="000000" w:themeColor="text1"/>
                <w:szCs w:val="20"/>
                <w:lang w:eastAsia="en-GB"/>
              </w:rPr>
            </w:pPr>
            <w:r w:rsidRPr="00CD3D9C">
              <w:rPr>
                <w:rFonts w:eastAsia="Times New Roman"/>
                <w:b/>
                <w:color w:val="000000" w:themeColor="text1"/>
                <w:szCs w:val="20"/>
                <w:lang w:eastAsia="en-GB"/>
              </w:rPr>
              <w:t xml:space="preserve">TOTAL </w:t>
            </w:r>
          </w:p>
        </w:tc>
        <w:tc>
          <w:tcPr>
            <w:tcW w:w="2790" w:type="dxa"/>
            <w:vAlign w:val="center"/>
          </w:tcPr>
          <w:p w14:paraId="15D4DB35" w14:textId="41D19D73" w:rsidR="002A6C1F" w:rsidRPr="00CD3D9C" w:rsidRDefault="002A6C1F" w:rsidP="008B7FA2">
            <w:pPr>
              <w:contextualSpacing/>
              <w:jc w:val="right"/>
              <w:rPr>
                <w:rFonts w:eastAsia="Times New Roman"/>
                <w:color w:val="000000" w:themeColor="text1"/>
                <w:szCs w:val="20"/>
                <w:lang w:eastAsia="en-GB"/>
              </w:rPr>
            </w:pPr>
            <w:r w:rsidRPr="00CD3D9C">
              <w:rPr>
                <w:rFonts w:eastAsia="Times New Roman"/>
                <w:b/>
                <w:color w:val="000000" w:themeColor="text1"/>
                <w:szCs w:val="20"/>
                <w:lang w:eastAsia="en-GB"/>
              </w:rPr>
              <w:t>USD ,</w:t>
            </w:r>
            <w:r w:rsidR="00416547">
              <w:t xml:space="preserve"> </w:t>
            </w:r>
            <w:r w:rsidR="006655E8" w:rsidRPr="006655E8">
              <w:rPr>
                <w:rFonts w:eastAsia="Times New Roman"/>
                <w:b/>
                <w:color w:val="000000" w:themeColor="text1"/>
                <w:szCs w:val="20"/>
                <w:lang w:eastAsia="en-GB"/>
              </w:rPr>
              <w:t>1</w:t>
            </w:r>
            <w:r w:rsidR="006655E8">
              <w:rPr>
                <w:rFonts w:eastAsia="Times New Roman"/>
                <w:b/>
                <w:color w:val="000000" w:themeColor="text1"/>
                <w:szCs w:val="20"/>
                <w:lang w:eastAsia="en-GB"/>
              </w:rPr>
              <w:t>,</w:t>
            </w:r>
            <w:r w:rsidR="006655E8" w:rsidRPr="006655E8">
              <w:rPr>
                <w:rFonts w:eastAsia="Times New Roman"/>
                <w:b/>
                <w:color w:val="000000" w:themeColor="text1"/>
                <w:szCs w:val="20"/>
                <w:lang w:eastAsia="en-GB"/>
              </w:rPr>
              <w:t>472</w:t>
            </w:r>
            <w:r w:rsidR="006655E8">
              <w:rPr>
                <w:rFonts w:eastAsia="Times New Roman"/>
                <w:b/>
                <w:color w:val="000000" w:themeColor="text1"/>
                <w:szCs w:val="20"/>
                <w:lang w:eastAsia="en-GB"/>
              </w:rPr>
              <w:t>,</w:t>
            </w:r>
            <w:r w:rsidR="006655E8" w:rsidRPr="006655E8">
              <w:rPr>
                <w:rFonts w:eastAsia="Times New Roman"/>
                <w:b/>
                <w:color w:val="000000" w:themeColor="text1"/>
                <w:szCs w:val="20"/>
                <w:lang w:eastAsia="en-GB"/>
              </w:rPr>
              <w:t>534.02</w:t>
            </w:r>
          </w:p>
        </w:tc>
      </w:tr>
    </w:tbl>
    <w:p w14:paraId="30A7206B" w14:textId="77777777" w:rsidR="002A6C1F" w:rsidRPr="00CD3D9C" w:rsidRDefault="002A6C1F" w:rsidP="001134F6">
      <w:pPr>
        <w:contextualSpacing/>
        <w:rPr>
          <w:rFonts w:eastAsia="Times New Roman"/>
          <w:color w:val="000000" w:themeColor="text1"/>
          <w:szCs w:val="20"/>
          <w:lang w:eastAsia="en-GB"/>
        </w:rPr>
      </w:pPr>
    </w:p>
    <w:p w14:paraId="311EF36A" w14:textId="2F3A740A" w:rsidR="002A6C1F" w:rsidRPr="00CD3D9C" w:rsidRDefault="002A6C1F" w:rsidP="001134F6">
      <w:pPr>
        <w:contextualSpacing/>
        <w:rPr>
          <w:rFonts w:eastAsia="Times New Roman"/>
          <w:b/>
          <w:bCs/>
          <w:color w:val="000000" w:themeColor="text1"/>
          <w:szCs w:val="20"/>
          <w:lang w:eastAsia="en-GB"/>
        </w:rPr>
      </w:pPr>
      <w:r w:rsidRPr="00CD3D9C">
        <w:rPr>
          <w:rFonts w:eastAsia="Times New Roman"/>
          <w:b/>
          <w:bCs/>
          <w:color w:val="000000" w:themeColor="text1"/>
          <w:szCs w:val="20"/>
          <w:lang w:eastAsia="en-GB"/>
        </w:rPr>
        <w:t>1</w:t>
      </w:r>
      <w:r w:rsidR="00722BA0" w:rsidRPr="00CD3D9C">
        <w:rPr>
          <w:rFonts w:eastAsia="Times New Roman"/>
          <w:b/>
          <w:bCs/>
          <w:color w:val="000000" w:themeColor="text1"/>
          <w:szCs w:val="20"/>
          <w:lang w:eastAsia="en-GB"/>
        </w:rPr>
        <w:t>2</w:t>
      </w:r>
      <w:r w:rsidRPr="00CD3D9C">
        <w:rPr>
          <w:rFonts w:eastAsia="Times New Roman"/>
          <w:b/>
          <w:bCs/>
          <w:color w:val="000000" w:themeColor="text1"/>
          <w:szCs w:val="20"/>
          <w:lang w:eastAsia="en-GB"/>
        </w:rPr>
        <w:t xml:space="preserve">. Timeframe: </w:t>
      </w:r>
    </w:p>
    <w:tbl>
      <w:tblPr>
        <w:tblStyle w:val="TableGrid"/>
        <w:tblW w:w="5935" w:type="dxa"/>
        <w:tblLook w:val="04A0" w:firstRow="1" w:lastRow="0" w:firstColumn="1" w:lastColumn="0" w:noHBand="0" w:noVBand="1"/>
      </w:tblPr>
      <w:tblGrid>
        <w:gridCol w:w="1885"/>
        <w:gridCol w:w="1980"/>
        <w:gridCol w:w="2070"/>
      </w:tblGrid>
      <w:tr w:rsidR="002A6C1F" w:rsidRPr="00CD3D9C" w14:paraId="1DC1ABE6" w14:textId="77777777" w:rsidTr="00CA7D1D">
        <w:tc>
          <w:tcPr>
            <w:tcW w:w="1885" w:type="dxa"/>
          </w:tcPr>
          <w:p w14:paraId="0B6D0034" w14:textId="77777777" w:rsidR="002A6C1F" w:rsidRPr="00CD3D9C" w:rsidRDefault="002A6C1F" w:rsidP="001134F6">
            <w:pPr>
              <w:contextualSpacing/>
              <w:rPr>
                <w:rFonts w:eastAsia="Times New Roman"/>
                <w:b/>
                <w:bCs/>
                <w:color w:val="000000" w:themeColor="text1"/>
                <w:szCs w:val="20"/>
                <w:lang w:eastAsia="en-GB"/>
              </w:rPr>
            </w:pPr>
            <w:r w:rsidRPr="00CD3D9C">
              <w:rPr>
                <w:rFonts w:eastAsia="Times New Roman"/>
                <w:b/>
                <w:bCs/>
                <w:color w:val="000000" w:themeColor="text1"/>
                <w:szCs w:val="20"/>
                <w:lang w:eastAsia="en-GB"/>
              </w:rPr>
              <w:t>Start date</w:t>
            </w:r>
          </w:p>
        </w:tc>
        <w:tc>
          <w:tcPr>
            <w:tcW w:w="1980" w:type="dxa"/>
          </w:tcPr>
          <w:p w14:paraId="6FAD846F" w14:textId="77777777" w:rsidR="002A6C1F" w:rsidRPr="00CD3D9C" w:rsidRDefault="002A6C1F" w:rsidP="001134F6">
            <w:pPr>
              <w:contextualSpacing/>
              <w:rPr>
                <w:rFonts w:eastAsia="Times New Roman"/>
                <w:b/>
                <w:bCs/>
                <w:color w:val="000000" w:themeColor="text1"/>
                <w:szCs w:val="20"/>
                <w:lang w:eastAsia="en-GB"/>
              </w:rPr>
            </w:pPr>
            <w:r w:rsidRPr="00CD3D9C">
              <w:rPr>
                <w:rFonts w:eastAsia="Times New Roman"/>
                <w:b/>
                <w:bCs/>
                <w:color w:val="000000" w:themeColor="text1"/>
                <w:szCs w:val="20"/>
                <w:lang w:eastAsia="en-GB"/>
              </w:rPr>
              <w:t>End date</w:t>
            </w:r>
          </w:p>
        </w:tc>
        <w:tc>
          <w:tcPr>
            <w:tcW w:w="2070" w:type="dxa"/>
          </w:tcPr>
          <w:p w14:paraId="6EBE8358" w14:textId="77777777" w:rsidR="002A6C1F" w:rsidRPr="00CD3D9C" w:rsidRDefault="002A6C1F" w:rsidP="001134F6">
            <w:pPr>
              <w:contextualSpacing/>
              <w:rPr>
                <w:rFonts w:eastAsia="Times New Roman"/>
                <w:b/>
                <w:bCs/>
                <w:color w:val="000000" w:themeColor="text1"/>
                <w:szCs w:val="20"/>
                <w:lang w:eastAsia="en-GB"/>
              </w:rPr>
            </w:pPr>
            <w:r w:rsidRPr="00CD3D9C">
              <w:rPr>
                <w:rFonts w:eastAsia="Times New Roman"/>
                <w:b/>
                <w:bCs/>
                <w:color w:val="000000" w:themeColor="text1"/>
                <w:szCs w:val="20"/>
                <w:lang w:eastAsia="en-GB"/>
              </w:rPr>
              <w:t xml:space="preserve">Duration </w:t>
            </w:r>
            <w:r w:rsidRPr="00CD3D9C">
              <w:rPr>
                <w:rFonts w:eastAsia="Times New Roman"/>
                <w:color w:val="000000" w:themeColor="text1"/>
                <w:szCs w:val="20"/>
                <w:lang w:eastAsia="en-GB"/>
              </w:rPr>
              <w:t>(in months)</w:t>
            </w:r>
          </w:p>
        </w:tc>
      </w:tr>
      <w:tr w:rsidR="002A6C1F" w:rsidRPr="00CD3D9C" w14:paraId="14C4B396" w14:textId="77777777" w:rsidTr="00CA7D1D">
        <w:tc>
          <w:tcPr>
            <w:tcW w:w="1885" w:type="dxa"/>
          </w:tcPr>
          <w:p w14:paraId="29EC63CF" w14:textId="39AD32BA" w:rsidR="002A6C1F" w:rsidRPr="00D33062" w:rsidRDefault="00482C50" w:rsidP="36939898">
            <w:pPr>
              <w:contextualSpacing/>
              <w:rPr>
                <w:rFonts w:eastAsia="Times New Roman"/>
                <w:color w:val="000000" w:themeColor="text1"/>
                <w:u w:val="single"/>
                <w:lang w:eastAsia="en-GB"/>
              </w:rPr>
            </w:pPr>
            <w:r w:rsidRPr="00D33062">
              <w:rPr>
                <w:rFonts w:eastAsia="Times New Roman"/>
                <w:color w:val="000000" w:themeColor="text1"/>
                <w:u w:val="single"/>
                <w:lang w:eastAsia="en-GB"/>
              </w:rPr>
              <w:t>July 2020</w:t>
            </w:r>
          </w:p>
        </w:tc>
        <w:tc>
          <w:tcPr>
            <w:tcW w:w="1980" w:type="dxa"/>
          </w:tcPr>
          <w:p w14:paraId="6CBDBA16" w14:textId="60B9D23F" w:rsidR="002A6C1F" w:rsidRPr="00D33062" w:rsidRDefault="00CA7D1D" w:rsidP="36939898">
            <w:pPr>
              <w:contextualSpacing/>
              <w:rPr>
                <w:rFonts w:eastAsia="Times New Roman"/>
                <w:color w:val="000000" w:themeColor="text1"/>
                <w:u w:val="single"/>
                <w:lang w:eastAsia="en-GB"/>
              </w:rPr>
            </w:pPr>
            <w:r w:rsidRPr="00D33062">
              <w:rPr>
                <w:rFonts w:eastAsia="Times New Roman"/>
                <w:color w:val="000000" w:themeColor="text1"/>
                <w:u w:val="single"/>
                <w:lang w:eastAsia="en-GB"/>
              </w:rPr>
              <w:t>December</w:t>
            </w:r>
            <w:r w:rsidR="00482C50" w:rsidRPr="00D33062">
              <w:rPr>
                <w:rFonts w:eastAsia="Times New Roman"/>
                <w:color w:val="000000" w:themeColor="text1"/>
                <w:u w:val="single"/>
                <w:lang w:eastAsia="en-GB"/>
              </w:rPr>
              <w:t xml:space="preserve"> 2022</w:t>
            </w:r>
          </w:p>
        </w:tc>
        <w:tc>
          <w:tcPr>
            <w:tcW w:w="2070" w:type="dxa"/>
          </w:tcPr>
          <w:p w14:paraId="4598DF8B" w14:textId="412DD411" w:rsidR="002A6C1F" w:rsidRPr="00D33062" w:rsidRDefault="008C1790" w:rsidP="36939898">
            <w:pPr>
              <w:contextualSpacing/>
              <w:rPr>
                <w:rFonts w:eastAsia="Times New Roman"/>
                <w:color w:val="000000" w:themeColor="text1"/>
                <w:u w:val="single"/>
                <w:lang w:eastAsia="en-GB"/>
              </w:rPr>
            </w:pPr>
            <w:r w:rsidRPr="00D33062">
              <w:rPr>
                <w:rFonts w:eastAsia="Times New Roman"/>
                <w:color w:val="000000" w:themeColor="text1"/>
                <w:u w:val="single"/>
                <w:lang w:eastAsia="en-GB"/>
              </w:rPr>
              <w:t xml:space="preserve">30 </w:t>
            </w:r>
            <w:r w:rsidR="00482C50" w:rsidRPr="00D33062">
              <w:rPr>
                <w:rFonts w:eastAsia="Times New Roman"/>
                <w:color w:val="000000" w:themeColor="text1"/>
                <w:u w:val="single"/>
                <w:lang w:eastAsia="en-GB"/>
              </w:rPr>
              <w:t>months</w:t>
            </w:r>
          </w:p>
        </w:tc>
      </w:tr>
    </w:tbl>
    <w:p w14:paraId="68ABA161" w14:textId="269BD658" w:rsidR="000134E4" w:rsidRPr="00CD3D9C" w:rsidRDefault="000134E4" w:rsidP="001134F6">
      <w:pPr>
        <w:rPr>
          <w:rFonts w:eastAsia="Times New Roman"/>
          <w:color w:val="000000" w:themeColor="text1"/>
          <w:szCs w:val="20"/>
          <w:lang w:eastAsia="en-GB"/>
        </w:rPr>
      </w:pPr>
    </w:p>
    <w:p w14:paraId="5CBEC28B" w14:textId="11303786" w:rsidR="00CB6FF3" w:rsidRPr="009F72BE" w:rsidRDefault="000134E4" w:rsidP="001134F6">
      <w:pPr>
        <w:rPr>
          <w:rFonts w:eastAsia="Times New Roman"/>
          <w:color w:val="000000" w:themeColor="text1"/>
          <w:szCs w:val="20"/>
          <w:lang w:eastAsia="en-GB"/>
        </w:rPr>
      </w:pPr>
      <w:r w:rsidRPr="009F72BE">
        <w:rPr>
          <w:rFonts w:eastAsia="Times New Roman"/>
          <w:b/>
          <w:bCs/>
          <w:color w:val="000000" w:themeColor="text1"/>
          <w:szCs w:val="20"/>
          <w:lang w:eastAsia="en-GB"/>
        </w:rPr>
        <w:t>1</w:t>
      </w:r>
      <w:r w:rsidR="002C139E" w:rsidRPr="009F72BE">
        <w:rPr>
          <w:rFonts w:eastAsia="Times New Roman"/>
          <w:b/>
          <w:bCs/>
          <w:color w:val="000000" w:themeColor="text1"/>
          <w:szCs w:val="20"/>
          <w:lang w:eastAsia="en-GB"/>
        </w:rPr>
        <w:t>3</w:t>
      </w:r>
      <w:r w:rsidR="002A6098" w:rsidRPr="009F72BE">
        <w:rPr>
          <w:rFonts w:eastAsia="Times New Roman"/>
          <w:b/>
          <w:bCs/>
          <w:color w:val="000000" w:themeColor="text1"/>
          <w:szCs w:val="20"/>
          <w:lang w:eastAsia="en-GB"/>
        </w:rPr>
        <w:t>.</w:t>
      </w:r>
      <w:r w:rsidRPr="009F72BE">
        <w:rPr>
          <w:rFonts w:eastAsia="Times New Roman"/>
          <w:b/>
          <w:bCs/>
          <w:color w:val="000000" w:themeColor="text1"/>
          <w:szCs w:val="20"/>
          <w:lang w:eastAsia="en-GB"/>
        </w:rPr>
        <w:t xml:space="preserve"> </w:t>
      </w:r>
      <w:r w:rsidR="00CB6FF3" w:rsidRPr="009F72BE">
        <w:rPr>
          <w:rFonts w:eastAsia="Times New Roman"/>
          <w:b/>
          <w:bCs/>
          <w:color w:val="000000" w:themeColor="text1"/>
          <w:szCs w:val="20"/>
          <w:lang w:eastAsia="en-GB"/>
        </w:rPr>
        <w:t>Gender Marker</w:t>
      </w:r>
      <w:r w:rsidR="00AC0AD8" w:rsidRPr="009F72BE">
        <w:rPr>
          <w:rFonts w:eastAsia="Times New Roman"/>
          <w:color w:val="000000" w:themeColor="text1"/>
          <w:szCs w:val="20"/>
          <w:lang w:eastAsia="en-GB"/>
        </w:rPr>
        <w:t xml:space="preserve">: </w:t>
      </w:r>
    </w:p>
    <w:p w14:paraId="322A90F4" w14:textId="01DB28E3" w:rsidR="002510A5" w:rsidRDefault="00D6568A" w:rsidP="001134F6">
      <w:pPr>
        <w:rPr>
          <w:rFonts w:eastAsia="Times New Roman"/>
          <w:bCs/>
          <w:color w:val="000000" w:themeColor="text1"/>
          <w:szCs w:val="20"/>
          <w:lang w:eastAsia="en-GB"/>
        </w:rPr>
      </w:pPr>
      <w:r>
        <w:rPr>
          <w:rFonts w:eastAsia="Times New Roman"/>
          <w:bCs/>
          <w:color w:val="000000" w:themeColor="text1"/>
          <w:szCs w:val="20"/>
          <w:lang w:eastAsia="en-GB"/>
        </w:rPr>
        <w:t>S</w:t>
      </w:r>
      <w:r w:rsidR="00721833">
        <w:rPr>
          <w:rFonts w:eastAsia="Times New Roman"/>
          <w:bCs/>
          <w:color w:val="000000" w:themeColor="text1"/>
          <w:szCs w:val="20"/>
          <w:lang w:eastAsia="en-GB"/>
        </w:rPr>
        <w:t xml:space="preserve">core of </w:t>
      </w:r>
      <w:r w:rsidR="008B3988" w:rsidRPr="008B3988">
        <w:rPr>
          <w:rFonts w:eastAsia="Times New Roman"/>
          <w:bCs/>
          <w:color w:val="000000" w:themeColor="text1"/>
          <w:szCs w:val="20"/>
          <w:lang w:eastAsia="en-GB"/>
        </w:rPr>
        <w:t>2</w:t>
      </w:r>
    </w:p>
    <w:p w14:paraId="6D742EDD" w14:textId="77777777" w:rsidR="008B3988" w:rsidRPr="008B3988" w:rsidRDefault="008B3988" w:rsidP="001134F6">
      <w:pPr>
        <w:rPr>
          <w:rFonts w:eastAsia="Times New Roman"/>
          <w:bCs/>
          <w:color w:val="000000" w:themeColor="text1"/>
          <w:szCs w:val="20"/>
          <w:lang w:eastAsia="en-GB"/>
        </w:rPr>
      </w:pPr>
    </w:p>
    <w:p w14:paraId="79DEED3A" w14:textId="77777777" w:rsidR="00C77967" w:rsidRPr="00CD3D9C" w:rsidRDefault="00C77967" w:rsidP="00C77967">
      <w:pPr>
        <w:rPr>
          <w:b/>
          <w:bCs/>
          <w:color w:val="000000" w:themeColor="text1"/>
          <w:szCs w:val="20"/>
        </w:rPr>
      </w:pPr>
      <w:r w:rsidRPr="00CD3D9C">
        <w:rPr>
          <w:rFonts w:eastAsia="Times New Roman"/>
          <w:b/>
          <w:bCs/>
          <w:color w:val="000000" w:themeColor="text1"/>
          <w:szCs w:val="20"/>
          <w:lang w:eastAsia="en-GB"/>
        </w:rPr>
        <w:t xml:space="preserve">14. Participating UN Organizations (PUNO) and Partners: </w:t>
      </w:r>
    </w:p>
    <w:p w14:paraId="41EC5501" w14:textId="77777777" w:rsidR="00C77967" w:rsidRPr="00CD3D9C" w:rsidRDefault="00C77967" w:rsidP="00C77967">
      <w:pPr>
        <w:contextualSpacing/>
        <w:rPr>
          <w:color w:val="000000" w:themeColor="text1"/>
          <w:szCs w:val="20"/>
        </w:rPr>
      </w:pPr>
    </w:p>
    <w:p w14:paraId="2285CCD3" w14:textId="63705937" w:rsidR="00C77967" w:rsidRPr="00CD3D9C" w:rsidRDefault="00C77967" w:rsidP="00C77967">
      <w:pPr>
        <w:ind w:left="720"/>
        <w:contextualSpacing/>
        <w:rPr>
          <w:rFonts w:eastAsia="Times New Roman"/>
          <w:b/>
          <w:bCs/>
          <w:i/>
          <w:iCs/>
          <w:color w:val="000000" w:themeColor="text1"/>
          <w:szCs w:val="20"/>
          <w:lang w:eastAsia="en-GB"/>
        </w:rPr>
      </w:pPr>
      <w:r w:rsidRPr="00CD3D9C">
        <w:rPr>
          <w:b/>
          <w:bCs/>
          <w:i/>
          <w:iCs/>
          <w:color w:val="000000" w:themeColor="text1"/>
          <w:szCs w:val="20"/>
        </w:rPr>
        <w:t>14.1 PUNO</w:t>
      </w:r>
      <w:r w:rsidR="00B64F83" w:rsidRPr="00CD3D9C">
        <w:rPr>
          <w:b/>
          <w:bCs/>
          <w:i/>
          <w:iCs/>
          <w:color w:val="000000" w:themeColor="text1"/>
          <w:szCs w:val="20"/>
        </w:rPr>
        <w:t xml:space="preserve"> </w:t>
      </w:r>
    </w:p>
    <w:p w14:paraId="020F7CBE" w14:textId="518B01FC" w:rsidR="00C77967" w:rsidRDefault="00C77967" w:rsidP="00C324ED">
      <w:pPr>
        <w:pStyle w:val="ListParagraph"/>
        <w:numPr>
          <w:ilvl w:val="0"/>
          <w:numId w:val="11"/>
        </w:numPr>
        <w:ind w:left="1800"/>
        <w:rPr>
          <w:bCs/>
          <w:szCs w:val="20"/>
        </w:rPr>
      </w:pPr>
      <w:r w:rsidRPr="00482C50">
        <w:rPr>
          <w:bCs/>
          <w:szCs w:val="20"/>
        </w:rPr>
        <w:t xml:space="preserve">Convening agency: </w:t>
      </w:r>
      <w:r w:rsidR="00482C50" w:rsidRPr="00482C50">
        <w:rPr>
          <w:bCs/>
          <w:szCs w:val="20"/>
        </w:rPr>
        <w:t>UNDP</w:t>
      </w:r>
      <w:r w:rsidR="00D013CA">
        <w:rPr>
          <w:bCs/>
          <w:szCs w:val="20"/>
        </w:rPr>
        <w:t xml:space="preserve">, Ms. </w:t>
      </w:r>
      <w:r w:rsidR="00D013CA" w:rsidRPr="00D013CA">
        <w:rPr>
          <w:bCs/>
          <w:szCs w:val="20"/>
        </w:rPr>
        <w:t>Adji Vera Romana Hakim</w:t>
      </w:r>
      <w:r w:rsidR="00C324ED">
        <w:rPr>
          <w:bCs/>
          <w:szCs w:val="20"/>
        </w:rPr>
        <w:t xml:space="preserve">, </w:t>
      </w:r>
      <w:r w:rsidR="00C324ED" w:rsidRPr="00C324ED">
        <w:rPr>
          <w:bCs/>
          <w:szCs w:val="20"/>
        </w:rPr>
        <w:t>Deputy Resident Representative</w:t>
      </w:r>
      <w:r w:rsidR="00C324ED">
        <w:rPr>
          <w:bCs/>
          <w:szCs w:val="20"/>
        </w:rPr>
        <w:t xml:space="preserve">, </w:t>
      </w:r>
      <w:hyperlink r:id="rId20" w:history="1">
        <w:r w:rsidR="00C324ED" w:rsidRPr="00B323A8">
          <w:rPr>
            <w:rStyle w:val="Hyperlink"/>
            <w:bCs/>
            <w:szCs w:val="20"/>
          </w:rPr>
          <w:t>vera.hakim@undp.org</w:t>
        </w:r>
      </w:hyperlink>
      <w:r w:rsidR="00C324ED">
        <w:rPr>
          <w:bCs/>
          <w:szCs w:val="20"/>
        </w:rPr>
        <w:t xml:space="preserve"> </w:t>
      </w:r>
    </w:p>
    <w:p w14:paraId="41AB4528" w14:textId="77777777" w:rsidR="00603CF9" w:rsidRPr="00482C50" w:rsidRDefault="00603CF9" w:rsidP="00B670D0">
      <w:pPr>
        <w:pStyle w:val="ListParagraph"/>
        <w:ind w:left="1800"/>
        <w:rPr>
          <w:bCs/>
          <w:szCs w:val="20"/>
        </w:rPr>
      </w:pPr>
    </w:p>
    <w:p w14:paraId="569C1F1B" w14:textId="77777777" w:rsidR="00A84DD8" w:rsidRDefault="00C77967" w:rsidP="003720B2">
      <w:pPr>
        <w:pStyle w:val="ListParagraph"/>
        <w:numPr>
          <w:ilvl w:val="0"/>
          <w:numId w:val="11"/>
        </w:numPr>
        <w:ind w:left="1800"/>
        <w:rPr>
          <w:bCs/>
          <w:szCs w:val="20"/>
        </w:rPr>
      </w:pPr>
      <w:r w:rsidRPr="00482C50">
        <w:rPr>
          <w:bCs/>
          <w:szCs w:val="20"/>
        </w:rPr>
        <w:t xml:space="preserve">Other PUNO: </w:t>
      </w:r>
    </w:p>
    <w:p w14:paraId="68CB3732" w14:textId="2791C2FB" w:rsidR="00721833" w:rsidRPr="00AA6772" w:rsidRDefault="0849CDA8" w:rsidP="36939898">
      <w:pPr>
        <w:pStyle w:val="ListParagraph"/>
        <w:numPr>
          <w:ilvl w:val="2"/>
          <w:numId w:val="11"/>
        </w:numPr>
        <w:rPr>
          <w:rStyle w:val="Hyperlink"/>
          <w:color w:val="auto"/>
          <w:u w:val="none"/>
        </w:rPr>
      </w:pPr>
      <w:r>
        <w:t>U</w:t>
      </w:r>
      <w:r w:rsidR="483C56AA">
        <w:t xml:space="preserve">NICEF: </w:t>
      </w:r>
      <w:r w:rsidR="558D2629">
        <w:t>Mr</w:t>
      </w:r>
      <w:r>
        <w:t>.</w:t>
      </w:r>
      <w:r w:rsidR="558D2629">
        <w:t>Paulo Sassarao</w:t>
      </w:r>
      <w:r>
        <w:t xml:space="preserve">, Deputy Representative, </w:t>
      </w:r>
      <w:hyperlink r:id="rId21">
        <w:r w:rsidR="32731575" w:rsidRPr="66A1DF9F">
          <w:rPr>
            <w:rStyle w:val="Hyperlink"/>
          </w:rPr>
          <w:t>psassarao@unicef.org</w:t>
        </w:r>
      </w:hyperlink>
    </w:p>
    <w:p w14:paraId="4D4BBEC0" w14:textId="77777777" w:rsidR="009F72BE" w:rsidRPr="00AA6772" w:rsidRDefault="009F72BE" w:rsidP="009F72BE">
      <w:pPr>
        <w:pStyle w:val="ListParagraph"/>
        <w:ind w:left="2520"/>
        <w:rPr>
          <w:bCs/>
          <w:szCs w:val="20"/>
        </w:rPr>
      </w:pPr>
    </w:p>
    <w:p w14:paraId="29FB8F7C" w14:textId="779AEECB" w:rsidR="00A84DD8" w:rsidRPr="00AA6772" w:rsidRDefault="00482C50" w:rsidP="00C324ED">
      <w:pPr>
        <w:pStyle w:val="ListParagraph"/>
        <w:numPr>
          <w:ilvl w:val="2"/>
          <w:numId w:val="11"/>
        </w:numPr>
        <w:rPr>
          <w:bCs/>
          <w:szCs w:val="20"/>
        </w:rPr>
      </w:pPr>
      <w:r w:rsidRPr="00AA6772">
        <w:rPr>
          <w:bCs/>
          <w:szCs w:val="20"/>
        </w:rPr>
        <w:t>UNFPA</w:t>
      </w:r>
      <w:r w:rsidR="00C324ED" w:rsidRPr="00AA6772">
        <w:rPr>
          <w:bCs/>
          <w:szCs w:val="20"/>
        </w:rPr>
        <w:t xml:space="preserve">: Ms. Shadiya Ibrahim, </w:t>
      </w:r>
      <w:r w:rsidR="00C35592" w:rsidRPr="00AA6772">
        <w:rPr>
          <w:bCs/>
          <w:szCs w:val="20"/>
        </w:rPr>
        <w:t>Head of Office</w:t>
      </w:r>
      <w:r w:rsidR="00C324ED" w:rsidRPr="00AA6772">
        <w:rPr>
          <w:bCs/>
          <w:szCs w:val="20"/>
        </w:rPr>
        <w:t xml:space="preserve">, </w:t>
      </w:r>
      <w:hyperlink r:id="rId22" w:history="1">
        <w:r w:rsidR="00C324ED" w:rsidRPr="00AA6772">
          <w:rPr>
            <w:rStyle w:val="Hyperlink"/>
            <w:bCs/>
            <w:szCs w:val="20"/>
          </w:rPr>
          <w:t>ibrahim@unfpa.org</w:t>
        </w:r>
      </w:hyperlink>
      <w:r w:rsidR="00C324ED" w:rsidRPr="00AA6772">
        <w:rPr>
          <w:bCs/>
          <w:szCs w:val="20"/>
        </w:rPr>
        <w:t xml:space="preserve"> </w:t>
      </w:r>
    </w:p>
    <w:p w14:paraId="6AE7CBD3" w14:textId="3CE1AF00" w:rsidR="00C324ED" w:rsidRPr="00AA6772" w:rsidRDefault="00C324ED" w:rsidP="00B670D0">
      <w:pPr>
        <w:pStyle w:val="ListParagraph"/>
        <w:ind w:left="2520"/>
        <w:rPr>
          <w:bCs/>
          <w:szCs w:val="20"/>
        </w:rPr>
      </w:pPr>
    </w:p>
    <w:p w14:paraId="30AF0360" w14:textId="096E99F0" w:rsidR="00B64F83" w:rsidRPr="008A74AF" w:rsidRDefault="457AE0D3" w:rsidP="66A1DF9F">
      <w:pPr>
        <w:pStyle w:val="ListParagraph"/>
        <w:numPr>
          <w:ilvl w:val="2"/>
          <w:numId w:val="11"/>
        </w:numPr>
        <w:rPr>
          <w:rStyle w:val="Hyperlink"/>
        </w:rPr>
      </w:pPr>
      <w:r>
        <w:t>WHO</w:t>
      </w:r>
      <w:r w:rsidR="7F9E19E4">
        <w:t>:</w:t>
      </w:r>
      <w:r w:rsidR="635555E9">
        <w:t xml:space="preserve"> Dr</w:t>
      </w:r>
      <w:r w:rsidR="5FFDA484">
        <w:t>.</w:t>
      </w:r>
      <w:r w:rsidR="635555E9">
        <w:t xml:space="preserve"> </w:t>
      </w:r>
      <w:r w:rsidR="0FB57553">
        <w:t>Nazneen</w:t>
      </w:r>
      <w:r w:rsidR="5FFDA484">
        <w:t xml:space="preserve"> Anwar</w:t>
      </w:r>
      <w:r w:rsidR="635555E9">
        <w:t xml:space="preserve">, </w:t>
      </w:r>
      <w:r w:rsidR="149C6AC7">
        <w:t>WHO representative to Maldives</w:t>
      </w:r>
      <w:r w:rsidR="048B931C">
        <w:t>,</w:t>
      </w:r>
      <w:r w:rsidR="257D8B28">
        <w:t xml:space="preserve"> </w:t>
      </w:r>
      <w:hyperlink r:id="rId23" w:tgtFrame="_blank" w:tooltip="anwarna@who.int" w:history="1">
        <w:r w:rsidR="257D8B28" w:rsidRPr="66A1DF9F">
          <w:rPr>
            <w:rStyle w:val="Hyperlink"/>
          </w:rPr>
          <w:t>anwarna@who.int</w:t>
        </w:r>
      </w:hyperlink>
    </w:p>
    <w:p w14:paraId="5786AC1C" w14:textId="77777777" w:rsidR="00EC47F6" w:rsidRPr="00EC47F6" w:rsidRDefault="00EC47F6" w:rsidP="00EC47F6">
      <w:pPr>
        <w:pStyle w:val="ListParagraph"/>
        <w:rPr>
          <w:b/>
          <w:color w:val="2F5496" w:themeColor="accent1" w:themeShade="BF"/>
          <w:szCs w:val="20"/>
        </w:rPr>
      </w:pPr>
    </w:p>
    <w:p w14:paraId="65967155" w14:textId="77777777" w:rsidR="00EC47F6" w:rsidRPr="001D0ECE" w:rsidRDefault="00EC47F6" w:rsidP="00EC47F6">
      <w:pPr>
        <w:pStyle w:val="ListParagraph"/>
        <w:ind w:left="1800"/>
        <w:rPr>
          <w:b/>
          <w:color w:val="2F5496" w:themeColor="accent1" w:themeShade="BF"/>
          <w:szCs w:val="20"/>
        </w:rPr>
      </w:pPr>
    </w:p>
    <w:p w14:paraId="00D303E5" w14:textId="271186C4" w:rsidR="00C77967" w:rsidRPr="00CD3D9C" w:rsidRDefault="00C77967" w:rsidP="00C77967">
      <w:pPr>
        <w:ind w:left="720"/>
        <w:contextualSpacing/>
        <w:rPr>
          <w:b/>
          <w:bCs/>
          <w:i/>
          <w:iCs/>
          <w:color w:val="000000" w:themeColor="text1"/>
          <w:szCs w:val="20"/>
        </w:rPr>
      </w:pPr>
      <w:r w:rsidRPr="00CD3D9C">
        <w:rPr>
          <w:b/>
          <w:bCs/>
          <w:i/>
          <w:iCs/>
          <w:color w:val="000000" w:themeColor="text1"/>
          <w:szCs w:val="20"/>
        </w:rPr>
        <w:t xml:space="preserve">14.2 Partners </w:t>
      </w:r>
    </w:p>
    <w:p w14:paraId="5F2FDC8F" w14:textId="77777777" w:rsidR="00EC2C32" w:rsidRPr="00EC2C32" w:rsidRDefault="00C77967" w:rsidP="00C77967">
      <w:pPr>
        <w:pStyle w:val="ListParagraph"/>
        <w:numPr>
          <w:ilvl w:val="0"/>
          <w:numId w:val="11"/>
        </w:numPr>
        <w:ind w:left="1800"/>
        <w:rPr>
          <w:b/>
          <w:color w:val="2F5496" w:themeColor="accent1" w:themeShade="BF"/>
          <w:szCs w:val="20"/>
        </w:rPr>
      </w:pPr>
      <w:r w:rsidRPr="00CD3D9C">
        <w:rPr>
          <w:color w:val="000000" w:themeColor="text1"/>
          <w:szCs w:val="20"/>
        </w:rPr>
        <w:t>National authorities:</w:t>
      </w:r>
      <w:r w:rsidR="00B12926" w:rsidRPr="00CD3D9C">
        <w:rPr>
          <w:color w:val="000000" w:themeColor="text1"/>
          <w:szCs w:val="20"/>
        </w:rPr>
        <w:t xml:space="preserve"> </w:t>
      </w:r>
    </w:p>
    <w:p w14:paraId="2AB85821" w14:textId="25F34B5E" w:rsidR="00EC2C32" w:rsidRPr="00FB4EF5" w:rsidRDefault="00B12926" w:rsidP="00D63F5E">
      <w:pPr>
        <w:pStyle w:val="ListParagraph"/>
        <w:numPr>
          <w:ilvl w:val="2"/>
          <w:numId w:val="11"/>
        </w:numPr>
        <w:rPr>
          <w:b/>
          <w:color w:val="2F5496" w:themeColor="accent1" w:themeShade="BF"/>
        </w:rPr>
      </w:pPr>
      <w:r w:rsidRPr="002618E5">
        <w:rPr>
          <w:bCs/>
          <w:szCs w:val="20"/>
        </w:rPr>
        <w:t xml:space="preserve">Ministry of </w:t>
      </w:r>
      <w:r w:rsidR="00820870" w:rsidRPr="002618E5">
        <w:rPr>
          <w:bCs/>
          <w:szCs w:val="20"/>
        </w:rPr>
        <w:t>F</w:t>
      </w:r>
      <w:r w:rsidRPr="002618E5">
        <w:rPr>
          <w:bCs/>
          <w:szCs w:val="20"/>
        </w:rPr>
        <w:t>inance</w:t>
      </w:r>
      <w:r w:rsidR="0074284C">
        <w:rPr>
          <w:bCs/>
          <w:szCs w:val="20"/>
        </w:rPr>
        <w:t xml:space="preserve">: </w:t>
      </w:r>
      <w:r w:rsidR="0074284C" w:rsidRPr="0074284C">
        <w:rPr>
          <w:bCs/>
          <w:szCs w:val="20"/>
        </w:rPr>
        <w:t>Mr. Ismail Ali Manik</w:t>
      </w:r>
      <w:r w:rsidR="0074284C">
        <w:rPr>
          <w:bCs/>
          <w:szCs w:val="20"/>
        </w:rPr>
        <w:t xml:space="preserve">, </w:t>
      </w:r>
      <w:r w:rsidR="0074284C" w:rsidRPr="0074284C">
        <w:rPr>
          <w:bCs/>
          <w:szCs w:val="20"/>
        </w:rPr>
        <w:t>State Minister</w:t>
      </w:r>
      <w:r w:rsidR="0074284C">
        <w:rPr>
          <w:bCs/>
          <w:szCs w:val="20"/>
        </w:rPr>
        <w:t xml:space="preserve">, </w:t>
      </w:r>
      <w:hyperlink r:id="rId24" w:history="1">
        <w:r w:rsidR="0074284C" w:rsidRPr="00B323A8">
          <w:rPr>
            <w:rStyle w:val="Hyperlink"/>
            <w:bCs/>
            <w:szCs w:val="20"/>
          </w:rPr>
          <w:t>ismail.alimanik@finance.gov.mv</w:t>
        </w:r>
      </w:hyperlink>
      <w:r w:rsidR="0074284C">
        <w:rPr>
          <w:bCs/>
          <w:szCs w:val="20"/>
        </w:rPr>
        <w:t xml:space="preserve"> </w:t>
      </w:r>
    </w:p>
    <w:p w14:paraId="54E63379" w14:textId="77777777" w:rsidR="00D63F5E" w:rsidRPr="00EC2C32" w:rsidRDefault="00D63F5E" w:rsidP="00B670D0">
      <w:pPr>
        <w:pStyle w:val="ListParagraph"/>
        <w:ind w:left="2520"/>
        <w:rPr>
          <w:b/>
          <w:color w:val="2F5496" w:themeColor="accent1" w:themeShade="BF"/>
          <w:szCs w:val="20"/>
        </w:rPr>
      </w:pPr>
    </w:p>
    <w:p w14:paraId="2CC582DA" w14:textId="7D36BF3E" w:rsidR="00C272E4" w:rsidRPr="00FB4EF5" w:rsidRDefault="5A312425" w:rsidP="66A1DF9F">
      <w:pPr>
        <w:pStyle w:val="ListParagraph"/>
        <w:numPr>
          <w:ilvl w:val="2"/>
          <w:numId w:val="11"/>
        </w:numPr>
        <w:rPr>
          <w:b/>
          <w:bCs/>
          <w:color w:val="2F5496" w:themeColor="accent1" w:themeShade="BF"/>
        </w:rPr>
      </w:pPr>
      <w:r>
        <w:t>Ministry of National Planning and Infrastructure</w:t>
      </w:r>
      <w:r w:rsidR="4300E0C9">
        <w:t xml:space="preserve">: </w:t>
      </w:r>
      <w:r w:rsidR="75BBCD70">
        <w:t xml:space="preserve">Ms. Fathimath Niuma, Deputy Minister, </w:t>
      </w:r>
      <w:hyperlink r:id="rId25">
        <w:r w:rsidR="232696EA" w:rsidRPr="66A1DF9F">
          <w:rPr>
            <w:rStyle w:val="Hyperlink"/>
          </w:rPr>
          <w:t>fathimath.niuma@planning.gov.mv</w:t>
        </w:r>
      </w:hyperlink>
    </w:p>
    <w:p w14:paraId="2991BF6E" w14:textId="77777777" w:rsidR="00C272E4" w:rsidRPr="00B670D0" w:rsidRDefault="00C272E4" w:rsidP="00B670D0">
      <w:pPr>
        <w:pStyle w:val="ListParagraph"/>
        <w:rPr>
          <w:b/>
          <w:color w:val="2F5496" w:themeColor="accent1" w:themeShade="BF"/>
          <w:szCs w:val="20"/>
        </w:rPr>
      </w:pPr>
    </w:p>
    <w:p w14:paraId="3F98F04C" w14:textId="5D9A415B" w:rsidR="00F86A02" w:rsidRPr="004E0A90" w:rsidRDefault="00C272E4" w:rsidP="00F86A02">
      <w:pPr>
        <w:pStyle w:val="ListParagraph"/>
        <w:numPr>
          <w:ilvl w:val="2"/>
          <w:numId w:val="11"/>
        </w:numPr>
        <w:rPr>
          <w:b/>
          <w:bCs/>
          <w:color w:val="2F5496" w:themeColor="accent1" w:themeShade="BF"/>
        </w:rPr>
      </w:pPr>
      <w:r w:rsidRPr="004E0A90">
        <w:t xml:space="preserve">Ministry of Foreign Affairs: Dr. </w:t>
      </w:r>
      <w:r w:rsidR="0057310A" w:rsidRPr="004E0A90">
        <w:t>Hala Hameed</w:t>
      </w:r>
      <w:r w:rsidRPr="004E0A90">
        <w:t xml:space="preserve">, Secretary, Multilateral </w:t>
      </w:r>
      <w:hyperlink r:id="rId26" w:history="1">
        <w:r w:rsidR="004E0A90" w:rsidRPr="004E0A90">
          <w:rPr>
            <w:rStyle w:val="Hyperlink"/>
          </w:rPr>
          <w:t>hala.hameed@foreign.gov.mv</w:t>
        </w:r>
      </w:hyperlink>
      <w:r w:rsidRPr="004E0A90">
        <w:t xml:space="preserve"> </w:t>
      </w:r>
    </w:p>
    <w:p w14:paraId="694772B1" w14:textId="77777777" w:rsidR="00F86A02" w:rsidRPr="00F86A02" w:rsidRDefault="00F86A02" w:rsidP="00F86A02">
      <w:pPr>
        <w:pStyle w:val="ListParagraph"/>
        <w:rPr>
          <w:highlight w:val="yellow"/>
        </w:rPr>
      </w:pPr>
    </w:p>
    <w:p w14:paraId="23B6B931" w14:textId="2B9CF613" w:rsidR="008E39C4" w:rsidRPr="00AA6772" w:rsidRDefault="00EC2C32" w:rsidP="00F86A02">
      <w:pPr>
        <w:pStyle w:val="ListParagraph"/>
        <w:numPr>
          <w:ilvl w:val="2"/>
          <w:numId w:val="11"/>
        </w:numPr>
      </w:pPr>
      <w:r w:rsidRPr="00AA6772">
        <w:t>Policy Office of the President’s Office</w:t>
      </w:r>
      <w:r w:rsidR="00D63F5E" w:rsidRPr="00AA6772">
        <w:t xml:space="preserve">: </w:t>
      </w:r>
      <w:r w:rsidR="008E39C4" w:rsidRPr="00AA6772">
        <w:t>Ahmed Hamdhan</w:t>
      </w:r>
    </w:p>
    <w:p w14:paraId="72D08B9D" w14:textId="47106CD0" w:rsidR="00D63F5E" w:rsidRPr="00AA6772" w:rsidRDefault="008E39C4" w:rsidP="00F86A02">
      <w:pPr>
        <w:shd w:val="clear" w:color="auto" w:fill="FFFFFF"/>
        <w:ind w:left="1800" w:firstLine="720"/>
        <w:rPr>
          <w:rFonts w:eastAsia="Times New Roman"/>
          <w:szCs w:val="24"/>
        </w:rPr>
      </w:pPr>
      <w:r w:rsidRPr="008E39C4">
        <w:rPr>
          <w:rFonts w:eastAsia="Times New Roman"/>
          <w:szCs w:val="24"/>
        </w:rPr>
        <w:t xml:space="preserve">Secretary, </w:t>
      </w:r>
    </w:p>
    <w:p w14:paraId="58AD253B" w14:textId="5417BA81" w:rsidR="00EC2C32" w:rsidRPr="00FB4EF5" w:rsidRDefault="00F86A02" w:rsidP="00D16D22">
      <w:pPr>
        <w:rPr>
          <w:b/>
          <w:color w:val="2F5496" w:themeColor="accent1" w:themeShade="BF"/>
        </w:rPr>
      </w:pPr>
      <w:r>
        <w:rPr>
          <w:b/>
          <w:color w:val="2F5496" w:themeColor="accent1" w:themeShade="BF"/>
        </w:rPr>
        <w:tab/>
      </w:r>
    </w:p>
    <w:p w14:paraId="4DDFC80C" w14:textId="5AF6983F" w:rsidR="00EC2C32" w:rsidRPr="00FB4EF5" w:rsidRDefault="408E68CD" w:rsidP="66A1DF9F">
      <w:pPr>
        <w:pStyle w:val="ListParagraph"/>
        <w:numPr>
          <w:ilvl w:val="2"/>
          <w:numId w:val="11"/>
        </w:numPr>
        <w:rPr>
          <w:b/>
          <w:bCs/>
          <w:color w:val="2F5496" w:themeColor="accent1" w:themeShade="BF"/>
        </w:rPr>
      </w:pPr>
      <w:r>
        <w:t>Parliament’s Public Finance Committee</w:t>
      </w:r>
      <w:r w:rsidR="75BBCD70">
        <w:t xml:space="preserve">: Mr. Mohamed Nashiz, Chair of Public Accounts Committee, People's Majlis, </w:t>
      </w:r>
      <w:hyperlink r:id="rId27">
        <w:r w:rsidR="75BBCD70" w:rsidRPr="66A1DF9F">
          <w:rPr>
            <w:rStyle w:val="Hyperlink"/>
          </w:rPr>
          <w:t>mp.mohamed.nashiz@majlis.gov.mv</w:t>
        </w:r>
      </w:hyperlink>
      <w:r w:rsidR="75BBCD70">
        <w:t xml:space="preserve"> </w:t>
      </w:r>
    </w:p>
    <w:p w14:paraId="7CDC554F" w14:textId="77777777" w:rsidR="00D63F5E" w:rsidRPr="00B670D0" w:rsidRDefault="00D63F5E" w:rsidP="00B670D0">
      <w:pPr>
        <w:rPr>
          <w:b/>
          <w:color w:val="2F5496" w:themeColor="accent1" w:themeShade="BF"/>
          <w:szCs w:val="20"/>
        </w:rPr>
      </w:pPr>
    </w:p>
    <w:p w14:paraId="073F0658" w14:textId="7F328DD3" w:rsidR="00EC2C32" w:rsidRPr="00FB4EF5" w:rsidRDefault="408E68CD" w:rsidP="66A1DF9F">
      <w:pPr>
        <w:pStyle w:val="ListParagraph"/>
        <w:numPr>
          <w:ilvl w:val="2"/>
          <w:numId w:val="11"/>
        </w:numPr>
        <w:rPr>
          <w:b/>
          <w:bCs/>
          <w:color w:val="2F5496" w:themeColor="accent1" w:themeShade="BF"/>
        </w:rPr>
      </w:pPr>
      <w:r>
        <w:t>Auditor General’s Office</w:t>
      </w:r>
      <w:r w:rsidR="75BBCD70">
        <w:t xml:space="preserve">: Mr. Ahmed Salih, Performace Audit Department, </w:t>
      </w:r>
      <w:hyperlink r:id="rId28">
        <w:r w:rsidR="75BBCD70" w:rsidRPr="66A1DF9F">
          <w:rPr>
            <w:rStyle w:val="Hyperlink"/>
          </w:rPr>
          <w:t>solih@audit.gov.mv</w:t>
        </w:r>
      </w:hyperlink>
      <w:r w:rsidR="75BBCD70">
        <w:t xml:space="preserve"> </w:t>
      </w:r>
    </w:p>
    <w:p w14:paraId="7C93907A" w14:textId="77777777" w:rsidR="00D63F5E" w:rsidRPr="00B670D0" w:rsidRDefault="00D63F5E" w:rsidP="00B670D0">
      <w:pPr>
        <w:rPr>
          <w:b/>
          <w:color w:val="2F5496" w:themeColor="accent1" w:themeShade="BF"/>
          <w:szCs w:val="20"/>
        </w:rPr>
      </w:pPr>
    </w:p>
    <w:p w14:paraId="0D2957FC" w14:textId="2F65DE9A" w:rsidR="00EC2C32" w:rsidRPr="00FB4EF5" w:rsidRDefault="408E68CD" w:rsidP="66A1DF9F">
      <w:pPr>
        <w:pStyle w:val="ListParagraph"/>
        <w:numPr>
          <w:ilvl w:val="2"/>
          <w:numId w:val="11"/>
        </w:numPr>
        <w:rPr>
          <w:b/>
          <w:bCs/>
          <w:color w:val="2F5496" w:themeColor="accent1" w:themeShade="BF"/>
        </w:rPr>
      </w:pPr>
      <w:r>
        <w:lastRenderedPageBreak/>
        <w:t>Maldives Monetary Authority</w:t>
      </w:r>
      <w:r w:rsidR="75BBCD70">
        <w:t xml:space="preserve">: Ms. Idham Hussain, Assistant Governor, </w:t>
      </w:r>
      <w:hyperlink r:id="rId29">
        <w:r w:rsidR="72F290B4" w:rsidRPr="66A1DF9F">
          <w:rPr>
            <w:rStyle w:val="Hyperlink"/>
          </w:rPr>
          <w:t>idham.hussain@mma.gov.mv</w:t>
        </w:r>
      </w:hyperlink>
      <w:r w:rsidR="72F290B4">
        <w:t xml:space="preserve"> </w:t>
      </w:r>
    </w:p>
    <w:p w14:paraId="3DC4770A" w14:textId="77777777" w:rsidR="00A860A7" w:rsidRPr="00EC2C32" w:rsidRDefault="00A860A7" w:rsidP="00B670D0">
      <w:pPr>
        <w:pStyle w:val="ListParagraph"/>
        <w:ind w:left="2520"/>
        <w:rPr>
          <w:b/>
          <w:color w:val="2F5496" w:themeColor="accent1" w:themeShade="BF"/>
          <w:szCs w:val="20"/>
        </w:rPr>
      </w:pPr>
    </w:p>
    <w:p w14:paraId="19DA7577" w14:textId="198D5B49" w:rsidR="0077155F" w:rsidRPr="00D6738C" w:rsidRDefault="000F4B2E" w:rsidP="0077155F">
      <w:pPr>
        <w:pStyle w:val="ListParagraph"/>
        <w:numPr>
          <w:ilvl w:val="2"/>
          <w:numId w:val="11"/>
        </w:numPr>
        <w:rPr>
          <w:b/>
          <w:bCs/>
          <w:color w:val="2F5496" w:themeColor="accent1" w:themeShade="BF"/>
        </w:rPr>
      </w:pPr>
      <w:r>
        <w:t>Maldives</w:t>
      </w:r>
      <w:r w:rsidR="00EC2C32" w:rsidRPr="00D6738C">
        <w:t xml:space="preserve"> Bureau of Statistics</w:t>
      </w:r>
      <w:r w:rsidR="00A860A7" w:rsidRPr="00D6738C">
        <w:t xml:space="preserve">: </w:t>
      </w:r>
      <w:r w:rsidR="00800324" w:rsidRPr="00D6738C">
        <w:t>Aishath</w:t>
      </w:r>
      <w:r>
        <w:t xml:space="preserve"> Shahudha</w:t>
      </w:r>
      <w:r w:rsidR="008F5092" w:rsidRPr="00D6738C">
        <w:t xml:space="preserve">, </w:t>
      </w:r>
      <w:r>
        <w:t xml:space="preserve">Deptuy </w:t>
      </w:r>
      <w:r w:rsidR="008F5092" w:rsidRPr="00D6738C">
        <w:t xml:space="preserve">Chief Statistician, </w:t>
      </w:r>
      <w:hyperlink r:id="rId30" w:history="1">
        <w:r w:rsidRPr="002423E3">
          <w:rPr>
            <w:rStyle w:val="Hyperlink"/>
          </w:rPr>
          <w:t>aishath.shahudha@stats.gov.mv</w:t>
        </w:r>
      </w:hyperlink>
    </w:p>
    <w:p w14:paraId="3FA84141" w14:textId="77777777" w:rsidR="0077155F" w:rsidRPr="0077155F" w:rsidRDefault="0077155F" w:rsidP="0077155F">
      <w:pPr>
        <w:pStyle w:val="ListParagraph"/>
        <w:rPr>
          <w:b/>
          <w:bCs/>
          <w:color w:val="2F5496" w:themeColor="accent1" w:themeShade="BF"/>
        </w:rPr>
      </w:pPr>
    </w:p>
    <w:p w14:paraId="6AD735FF" w14:textId="77777777" w:rsidR="00AA25E6" w:rsidRPr="00AA25E6" w:rsidRDefault="408E68CD" w:rsidP="00AA25E6">
      <w:pPr>
        <w:pStyle w:val="ListParagraph"/>
        <w:numPr>
          <w:ilvl w:val="2"/>
          <w:numId w:val="11"/>
        </w:numPr>
        <w:rPr>
          <w:b/>
          <w:bCs/>
          <w:color w:val="2F5496" w:themeColor="accent1" w:themeShade="BF"/>
        </w:rPr>
      </w:pPr>
      <w:r>
        <w:t>Local Government Authority</w:t>
      </w:r>
      <w:r w:rsidR="5360E58F">
        <w:t xml:space="preserve">: </w:t>
      </w:r>
      <w:r w:rsidR="1E2760C1">
        <w:t>Mr. Mohamed Shafeeg Mahmood, Chief Executive Officer, ceo@lga.gov.mv , 7772662</w:t>
      </w:r>
    </w:p>
    <w:p w14:paraId="5D3F6628" w14:textId="77777777" w:rsidR="00AA25E6" w:rsidRPr="00AA25E6" w:rsidRDefault="00AA25E6" w:rsidP="00AA25E6">
      <w:pPr>
        <w:pStyle w:val="ListParagraph"/>
        <w:rPr>
          <w:highlight w:val="yellow"/>
        </w:rPr>
      </w:pPr>
    </w:p>
    <w:p w14:paraId="3C679066" w14:textId="77777777" w:rsidR="00A038BC" w:rsidRPr="00A038BC" w:rsidRDefault="2FBE6108" w:rsidP="00A038BC">
      <w:pPr>
        <w:pStyle w:val="ListParagraph"/>
        <w:numPr>
          <w:ilvl w:val="2"/>
          <w:numId w:val="11"/>
        </w:numPr>
        <w:rPr>
          <w:b/>
          <w:bCs/>
          <w:color w:val="2F5496" w:themeColor="accent1" w:themeShade="BF"/>
        </w:rPr>
      </w:pPr>
      <w:r>
        <w:t>Ministry of Economic Development</w:t>
      </w:r>
      <w:r w:rsidR="5360E58F">
        <w:t xml:space="preserve">: </w:t>
      </w:r>
      <w:r w:rsidR="623236BC">
        <w:t>Mr. Shuhad Ibrahim,</w:t>
      </w:r>
      <w:r w:rsidR="08A91064">
        <w:t xml:space="preserve"> </w:t>
      </w:r>
      <w:r w:rsidR="623236BC" w:rsidRPr="66A1DF9F">
        <w:rPr>
          <w:color w:val="212121"/>
        </w:rPr>
        <w:t>Consultant, Trade and Investment</w:t>
      </w:r>
      <w:r w:rsidR="08A91064" w:rsidRPr="66A1DF9F">
        <w:rPr>
          <w:color w:val="212121"/>
        </w:rPr>
        <w:t xml:space="preserve">, </w:t>
      </w:r>
      <w:hyperlink r:id="rId31">
        <w:r w:rsidR="08A91064" w:rsidRPr="66A1DF9F">
          <w:rPr>
            <w:rStyle w:val="Hyperlink"/>
          </w:rPr>
          <w:t>shuhad.ibrahim@trade.gov.mv</w:t>
        </w:r>
      </w:hyperlink>
    </w:p>
    <w:p w14:paraId="6C1B603C" w14:textId="77777777" w:rsidR="00A038BC" w:rsidRDefault="00A038BC" w:rsidP="00A038BC">
      <w:pPr>
        <w:pStyle w:val="ListParagraph"/>
      </w:pPr>
    </w:p>
    <w:p w14:paraId="1665103E" w14:textId="5129672A" w:rsidR="00A038BC" w:rsidRPr="00A038BC" w:rsidRDefault="00F319EF" w:rsidP="00A038BC">
      <w:pPr>
        <w:pStyle w:val="ListParagraph"/>
        <w:numPr>
          <w:ilvl w:val="2"/>
          <w:numId w:val="11"/>
        </w:numPr>
        <w:tabs>
          <w:tab w:val="left" w:pos="4140"/>
        </w:tabs>
        <w:rPr>
          <w:b/>
          <w:bCs/>
          <w:color w:val="2F5496" w:themeColor="accent1" w:themeShade="BF"/>
        </w:rPr>
      </w:pPr>
      <w:r>
        <w:t>Ministry of Environment</w:t>
      </w:r>
      <w:r w:rsidR="00944DCE">
        <w:t xml:space="preserve">: </w:t>
      </w:r>
      <w:r w:rsidR="00293C86">
        <w:t xml:space="preserve">Ms. Khadeeja Naseem, </w:t>
      </w:r>
      <w:r w:rsidR="00F91B3E">
        <w:t xml:space="preserve">State Minister, </w:t>
      </w:r>
      <w:hyperlink r:id="rId32" w:history="1">
        <w:r w:rsidR="00A038BC" w:rsidRPr="00C739F0">
          <w:rPr>
            <w:rStyle w:val="Hyperlink"/>
          </w:rPr>
          <w:t>khadeeja.naseem@environment.gov.mv</w:t>
        </w:r>
      </w:hyperlink>
    </w:p>
    <w:p w14:paraId="3E2CCADA" w14:textId="77777777" w:rsidR="00A038BC" w:rsidRDefault="00A038BC" w:rsidP="00A038BC">
      <w:pPr>
        <w:pStyle w:val="ListParagraph"/>
      </w:pPr>
    </w:p>
    <w:p w14:paraId="4BF99E0C" w14:textId="77777777" w:rsidR="00A038BC" w:rsidRDefault="2AB4B1EC" w:rsidP="00A038BC">
      <w:pPr>
        <w:ind w:left="2160" w:firstLine="360"/>
      </w:pPr>
      <w:r>
        <w:t xml:space="preserve">Ms. Aishath Aileen Niyaz, </w:t>
      </w:r>
      <w:r w:rsidR="6980EED9">
        <w:t>Encironment Analyst</w:t>
      </w:r>
      <w:r w:rsidR="5360E58F">
        <w:t>,</w:t>
      </w:r>
    </w:p>
    <w:p w14:paraId="1C0EA526" w14:textId="65D8DF41" w:rsidR="00293C86" w:rsidRPr="00A038BC" w:rsidRDefault="00293C86" w:rsidP="00A038BC">
      <w:pPr>
        <w:ind w:left="2160" w:firstLine="360"/>
        <w:rPr>
          <w:b/>
          <w:bCs/>
          <w:color w:val="2F5496" w:themeColor="accent1" w:themeShade="BF"/>
        </w:rPr>
      </w:pPr>
      <w:r w:rsidRPr="00293C86">
        <w:t>aileen.niyaz@environment.gov.mv</w:t>
      </w:r>
      <w:r w:rsidR="00944DCE">
        <w:t xml:space="preserve"> </w:t>
      </w:r>
    </w:p>
    <w:p w14:paraId="31BEFE72" w14:textId="720A1AB5" w:rsidR="00F319EF" w:rsidRPr="003F08DF" w:rsidRDefault="00F319EF" w:rsidP="00D16D22">
      <w:pPr>
        <w:rPr>
          <w:b/>
          <w:color w:val="2F5496" w:themeColor="accent1" w:themeShade="BF"/>
          <w:szCs w:val="20"/>
        </w:rPr>
      </w:pPr>
    </w:p>
    <w:p w14:paraId="754E39ED" w14:textId="40E2C2D1" w:rsidR="00F319EF" w:rsidRPr="003F08DF" w:rsidRDefault="2FBE6108" w:rsidP="66A1DF9F">
      <w:pPr>
        <w:pStyle w:val="ListParagraph"/>
        <w:numPr>
          <w:ilvl w:val="2"/>
          <w:numId w:val="11"/>
        </w:numPr>
        <w:rPr>
          <w:b/>
          <w:bCs/>
          <w:color w:val="2F5496" w:themeColor="accent1" w:themeShade="BF"/>
        </w:rPr>
      </w:pPr>
      <w:r>
        <w:t>Ministry of Health</w:t>
      </w:r>
      <w:r w:rsidR="3F7D06C1">
        <w:t xml:space="preserve">: </w:t>
      </w:r>
      <w:r w:rsidR="7107E335">
        <w:t xml:space="preserve">Ms Moomina Abdullah, Director (Health Information and Research Section, Policy Planning and International Health Division) </w:t>
      </w:r>
      <w:hyperlink r:id="rId33">
        <w:r w:rsidR="1E738096" w:rsidRPr="66A1DF9F">
          <w:rPr>
            <w:rStyle w:val="Hyperlink"/>
          </w:rPr>
          <w:t>mouniabdullah@health.gov.mv</w:t>
        </w:r>
      </w:hyperlink>
    </w:p>
    <w:p w14:paraId="49AD7324" w14:textId="77777777" w:rsidR="00944DCE" w:rsidRPr="003F08DF" w:rsidRDefault="00944DCE" w:rsidP="00B670D0">
      <w:pPr>
        <w:rPr>
          <w:b/>
          <w:color w:val="2F5496" w:themeColor="accent1" w:themeShade="BF"/>
          <w:szCs w:val="20"/>
        </w:rPr>
      </w:pPr>
    </w:p>
    <w:p w14:paraId="0E632CA8" w14:textId="4346590F" w:rsidR="00F319EF" w:rsidRPr="003F08DF" w:rsidRDefault="2FBE6108" w:rsidP="66A1DF9F">
      <w:pPr>
        <w:pStyle w:val="ListParagraph"/>
        <w:numPr>
          <w:ilvl w:val="2"/>
          <w:numId w:val="11"/>
        </w:numPr>
        <w:rPr>
          <w:b/>
          <w:bCs/>
          <w:color w:val="2F5496" w:themeColor="accent1" w:themeShade="BF"/>
        </w:rPr>
      </w:pPr>
      <w:r>
        <w:t>Ministry of Education</w:t>
      </w:r>
      <w:r w:rsidR="5DD0D7A3">
        <w:t xml:space="preserve">: Fathmath Azza, Director General, </w:t>
      </w:r>
      <w:hyperlink r:id="rId34">
        <w:r w:rsidR="24657F75" w:rsidRPr="66A1DF9F">
          <w:rPr>
            <w:rStyle w:val="Hyperlink"/>
          </w:rPr>
          <w:t>azza@moe.gov.mv</w:t>
        </w:r>
      </w:hyperlink>
      <w:r w:rsidR="24657F75">
        <w:t xml:space="preserve"> </w:t>
      </w:r>
    </w:p>
    <w:p w14:paraId="6B443F58" w14:textId="77777777" w:rsidR="00944DCE" w:rsidRPr="003F08DF" w:rsidRDefault="00944DCE" w:rsidP="00B670D0">
      <w:pPr>
        <w:rPr>
          <w:b/>
          <w:color w:val="2F5496" w:themeColor="accent1" w:themeShade="BF"/>
          <w:szCs w:val="20"/>
        </w:rPr>
      </w:pPr>
    </w:p>
    <w:p w14:paraId="70A14032" w14:textId="571AE000" w:rsidR="00F319EF" w:rsidRPr="003F08DF" w:rsidRDefault="2FBE6108" w:rsidP="66A1DF9F">
      <w:pPr>
        <w:pStyle w:val="ListParagraph"/>
        <w:numPr>
          <w:ilvl w:val="2"/>
          <w:numId w:val="11"/>
        </w:numPr>
        <w:rPr>
          <w:b/>
          <w:bCs/>
          <w:color w:val="2F5496" w:themeColor="accent1" w:themeShade="BF"/>
        </w:rPr>
      </w:pPr>
      <w:r>
        <w:t>Ministry of Higher Education</w:t>
      </w:r>
      <w:r w:rsidR="12CB5C5D">
        <w:t xml:space="preserve">: </w:t>
      </w:r>
      <w:r w:rsidR="12CB5C5D" w:rsidRPr="66A1DF9F">
        <w:rPr>
          <w:rFonts w:eastAsia="Calibri" w:cs="Calibri"/>
          <w:color w:val="000000" w:themeColor="text1"/>
        </w:rPr>
        <w:t>M</w:t>
      </w:r>
      <w:r w:rsidR="12CB5C5D">
        <w:t xml:space="preserve">s </w:t>
      </w:r>
      <w:r w:rsidR="12CB5C5D" w:rsidRPr="66A1DF9F">
        <w:rPr>
          <w:rFonts w:eastAsia="Calibri" w:cs="Calibri"/>
          <w:color w:val="000000" w:themeColor="text1"/>
        </w:rPr>
        <w:t>K</w:t>
      </w:r>
      <w:r w:rsidR="12CB5C5D">
        <w:t xml:space="preserve">hadeeja Adam, Minister of State for Higher Education, </w:t>
      </w:r>
      <w:hyperlink r:id="rId35">
        <w:r w:rsidR="12CB5C5D" w:rsidRPr="66A1DF9F">
          <w:rPr>
            <w:color w:val="1155CC"/>
            <w:u w:val="single"/>
          </w:rPr>
          <w:t>khadeeja.adam@mohe.gov.mv</w:t>
        </w:r>
      </w:hyperlink>
    </w:p>
    <w:p w14:paraId="4232CF61" w14:textId="77777777" w:rsidR="00944DCE" w:rsidRPr="003F08DF" w:rsidRDefault="00944DCE" w:rsidP="00B670D0">
      <w:pPr>
        <w:rPr>
          <w:b/>
          <w:color w:val="2F5496" w:themeColor="accent1" w:themeShade="BF"/>
          <w:szCs w:val="20"/>
        </w:rPr>
      </w:pPr>
    </w:p>
    <w:p w14:paraId="574FDE56" w14:textId="28BA4B0A" w:rsidR="00944DCE" w:rsidRPr="003F08DF" w:rsidRDefault="2FBE6108" w:rsidP="66A1DF9F">
      <w:pPr>
        <w:pStyle w:val="ListParagraph"/>
        <w:numPr>
          <w:ilvl w:val="2"/>
          <w:numId w:val="11"/>
        </w:numPr>
        <w:rPr>
          <w:b/>
          <w:bCs/>
          <w:color w:val="2F5496" w:themeColor="accent1" w:themeShade="BF"/>
        </w:rPr>
      </w:pPr>
      <w:r>
        <w:t>Ministry of Gender, Family Protection and Social Services</w:t>
      </w:r>
      <w:r w:rsidR="49C33174">
        <w:t xml:space="preserve"> (incl. NSPA)</w:t>
      </w:r>
      <w:r w:rsidR="3F7D06C1">
        <w:t xml:space="preserve">: </w:t>
      </w:r>
      <w:r w:rsidR="3F7D06C1" w:rsidRPr="66A1DF9F">
        <w:rPr>
          <w:rFonts w:eastAsia="Calibri" w:cs="Calibri"/>
          <w:color w:val="000000" w:themeColor="text1"/>
        </w:rPr>
        <w:t>Ms Fat</w:t>
      </w:r>
      <w:r w:rsidR="3F7D06C1">
        <w:t xml:space="preserve">himath Yumna, Deputy Minister, </w:t>
      </w:r>
      <w:hyperlink r:id="rId36">
        <w:r w:rsidR="3F7D06C1" w:rsidRPr="66A1DF9F">
          <w:rPr>
            <w:color w:val="1155CC"/>
            <w:u w:val="single"/>
          </w:rPr>
          <w:t>yumna@gender.gov.mv</w:t>
        </w:r>
      </w:hyperlink>
    </w:p>
    <w:p w14:paraId="4B18F06E" w14:textId="620BB998" w:rsidR="00F319EF" w:rsidRPr="003F08DF" w:rsidRDefault="00F319EF" w:rsidP="00D16D22">
      <w:pPr>
        <w:rPr>
          <w:b/>
          <w:color w:val="2F5496" w:themeColor="accent1" w:themeShade="BF"/>
          <w:szCs w:val="20"/>
        </w:rPr>
      </w:pPr>
    </w:p>
    <w:p w14:paraId="24A86592" w14:textId="7EDC8133" w:rsidR="00B103AE" w:rsidRPr="003F08DF" w:rsidRDefault="00B103AE" w:rsidP="002452B0">
      <w:pPr>
        <w:pStyle w:val="ListParagraph"/>
        <w:numPr>
          <w:ilvl w:val="2"/>
          <w:numId w:val="11"/>
        </w:numPr>
        <w:rPr>
          <w:b/>
          <w:color w:val="2F5496" w:themeColor="accent1" w:themeShade="BF"/>
          <w:szCs w:val="20"/>
        </w:rPr>
      </w:pPr>
      <w:r w:rsidRPr="003F08DF">
        <w:rPr>
          <w:szCs w:val="20"/>
        </w:rPr>
        <w:t>Maldives Pension Administration Office (MPAO)</w:t>
      </w:r>
      <w:r w:rsidR="002452B0" w:rsidRPr="003F08DF">
        <w:rPr>
          <w:szCs w:val="20"/>
        </w:rPr>
        <w:t xml:space="preserve">: Ms. Sujatha Haleem, Acting CEO &amp; COO, </w:t>
      </w:r>
      <w:hyperlink r:id="rId37" w:history="1">
        <w:r w:rsidR="002452B0" w:rsidRPr="003F08DF">
          <w:rPr>
            <w:rStyle w:val="Hyperlink"/>
            <w:szCs w:val="20"/>
          </w:rPr>
          <w:t>sujatha.haleem@pension.gov.mv</w:t>
        </w:r>
      </w:hyperlink>
      <w:r w:rsidR="002452B0" w:rsidRPr="003F08DF">
        <w:rPr>
          <w:szCs w:val="20"/>
        </w:rPr>
        <w:t xml:space="preserve"> </w:t>
      </w:r>
    </w:p>
    <w:p w14:paraId="09ECCEA5" w14:textId="77777777" w:rsidR="00944DCE" w:rsidRPr="003F08DF" w:rsidRDefault="00944DCE" w:rsidP="00D16D22">
      <w:pPr>
        <w:rPr>
          <w:b/>
          <w:color w:val="2F5496" w:themeColor="accent1" w:themeShade="BF"/>
          <w:szCs w:val="20"/>
        </w:rPr>
      </w:pPr>
    </w:p>
    <w:p w14:paraId="190EF1E7" w14:textId="5BAA0519" w:rsidR="00097DB1" w:rsidRPr="003F08DF" w:rsidRDefault="1F83B71B" w:rsidP="66A1DF9F">
      <w:pPr>
        <w:pStyle w:val="ListParagraph"/>
        <w:numPr>
          <w:ilvl w:val="2"/>
          <w:numId w:val="11"/>
        </w:numPr>
        <w:rPr>
          <w:b/>
          <w:bCs/>
          <w:color w:val="2F5496" w:themeColor="accent1" w:themeShade="BF"/>
        </w:rPr>
      </w:pPr>
      <w:r>
        <w:t>Maldives Capital Market Development Authority</w:t>
      </w:r>
      <w:r w:rsidR="1BE3A679">
        <w:t xml:space="preserve">: Ms. Fathimath Abdulla Kamaaluddheen, Acting CEO, Director General, Head of Market Development Department, </w:t>
      </w:r>
      <w:hyperlink r:id="rId38">
        <w:r w:rsidR="1BE3A679" w:rsidRPr="66A1DF9F">
          <w:rPr>
            <w:rStyle w:val="Hyperlink"/>
          </w:rPr>
          <w:t>f.kamaludeen@cmda.gov.mv</w:t>
        </w:r>
      </w:hyperlink>
      <w:r w:rsidR="1BE3A679">
        <w:t xml:space="preserve"> </w:t>
      </w:r>
    </w:p>
    <w:p w14:paraId="1EAE108F" w14:textId="77777777" w:rsidR="00B103AE" w:rsidRPr="003F08DF" w:rsidRDefault="00B103AE" w:rsidP="00B670D0">
      <w:pPr>
        <w:pStyle w:val="ListParagraph"/>
        <w:ind w:left="2520"/>
        <w:rPr>
          <w:b/>
          <w:color w:val="2F5496" w:themeColor="accent1" w:themeShade="BF"/>
          <w:szCs w:val="20"/>
        </w:rPr>
      </w:pPr>
    </w:p>
    <w:p w14:paraId="71E1035E" w14:textId="7561EDB2" w:rsidR="00B103AE" w:rsidRPr="003F08DF" w:rsidRDefault="00B103AE" w:rsidP="00B670D0">
      <w:pPr>
        <w:pStyle w:val="ListParagraph"/>
        <w:numPr>
          <w:ilvl w:val="2"/>
          <w:numId w:val="11"/>
        </w:numPr>
        <w:rPr>
          <w:b/>
          <w:color w:val="2F5496" w:themeColor="accent1" w:themeShade="BF"/>
          <w:szCs w:val="20"/>
        </w:rPr>
      </w:pPr>
      <w:r w:rsidRPr="003F08DF">
        <w:rPr>
          <w:szCs w:val="20"/>
        </w:rPr>
        <w:t>Maldives Fund Management Corporation (MFMC)</w:t>
      </w:r>
      <w:r w:rsidR="00AE0435" w:rsidRPr="003F08DF">
        <w:rPr>
          <w:szCs w:val="20"/>
        </w:rPr>
        <w:t xml:space="preserve">: Mr. Mohamed Mujah Muneer, Head of Investment and Portfolio Management, </w:t>
      </w:r>
      <w:hyperlink r:id="rId39" w:history="1">
        <w:r w:rsidR="00AE0435" w:rsidRPr="003F08DF">
          <w:rPr>
            <w:rStyle w:val="Hyperlink"/>
            <w:szCs w:val="20"/>
          </w:rPr>
          <w:t>mujah.muneer@mfmc.mv</w:t>
        </w:r>
      </w:hyperlink>
      <w:r w:rsidR="00AE0435" w:rsidRPr="003F08DF">
        <w:rPr>
          <w:szCs w:val="20"/>
        </w:rPr>
        <w:t xml:space="preserve"> </w:t>
      </w:r>
    </w:p>
    <w:p w14:paraId="3A2979A0" w14:textId="77777777" w:rsidR="00EC2C32" w:rsidRPr="001402CB" w:rsidRDefault="00EC2C32" w:rsidP="001402CB">
      <w:pPr>
        <w:rPr>
          <w:b/>
          <w:color w:val="2F5496" w:themeColor="accent1" w:themeShade="BF"/>
          <w:szCs w:val="20"/>
        </w:rPr>
      </w:pPr>
    </w:p>
    <w:p w14:paraId="62A7A320" w14:textId="63C0E21D" w:rsidR="00E80317" w:rsidRPr="00AE2980" w:rsidRDefault="00C77967" w:rsidP="00B670D0">
      <w:pPr>
        <w:pStyle w:val="ListParagraph"/>
        <w:numPr>
          <w:ilvl w:val="0"/>
          <w:numId w:val="11"/>
        </w:numPr>
        <w:ind w:left="1800"/>
      </w:pPr>
      <w:r w:rsidRPr="00E31686">
        <w:rPr>
          <w:color w:val="000000" w:themeColor="text1"/>
          <w:szCs w:val="20"/>
        </w:rPr>
        <w:t xml:space="preserve">Civil society organizations: </w:t>
      </w:r>
    </w:p>
    <w:p w14:paraId="574AF6F0" w14:textId="77777777" w:rsidR="00AE2980" w:rsidRPr="00FB4EF5" w:rsidRDefault="00AE2980" w:rsidP="00AE2980">
      <w:pPr>
        <w:pStyle w:val="ListParagraph"/>
        <w:numPr>
          <w:ilvl w:val="2"/>
          <w:numId w:val="11"/>
        </w:numPr>
        <w:rPr>
          <w:b/>
          <w:color w:val="2F5496" w:themeColor="accent1" w:themeShade="BF"/>
        </w:rPr>
      </w:pPr>
      <w:r w:rsidRPr="006D05FF">
        <w:rPr>
          <w:szCs w:val="20"/>
        </w:rPr>
        <w:t>Maldives Association of Tourism Industry (MATI</w:t>
      </w:r>
      <w:r>
        <w:rPr>
          <w:szCs w:val="20"/>
        </w:rPr>
        <w:t xml:space="preserve">): </w:t>
      </w:r>
      <w:r w:rsidRPr="00097DB1">
        <w:rPr>
          <w:szCs w:val="20"/>
        </w:rPr>
        <w:t>Mr. Rafiu Mohamed</w:t>
      </w:r>
      <w:r>
        <w:rPr>
          <w:szCs w:val="20"/>
        </w:rPr>
        <w:t xml:space="preserve">, </w:t>
      </w:r>
      <w:r w:rsidRPr="00097DB1">
        <w:rPr>
          <w:szCs w:val="20"/>
        </w:rPr>
        <w:t>Executive Director</w:t>
      </w:r>
      <w:r>
        <w:rPr>
          <w:szCs w:val="20"/>
        </w:rPr>
        <w:t xml:space="preserve">, </w:t>
      </w:r>
      <w:hyperlink r:id="rId40" w:history="1">
        <w:r w:rsidRPr="00B323A8">
          <w:rPr>
            <w:rStyle w:val="Hyperlink"/>
            <w:szCs w:val="20"/>
          </w:rPr>
          <w:t>mati@dhivehinet.net.mv</w:t>
        </w:r>
      </w:hyperlink>
      <w:r>
        <w:rPr>
          <w:szCs w:val="20"/>
        </w:rPr>
        <w:t xml:space="preserve"> </w:t>
      </w:r>
    </w:p>
    <w:p w14:paraId="71F04A99" w14:textId="77777777" w:rsidR="00AE2980" w:rsidRPr="006D05FF" w:rsidRDefault="00AE2980" w:rsidP="00AE2980">
      <w:pPr>
        <w:pStyle w:val="ListParagraph"/>
        <w:ind w:left="2520"/>
        <w:rPr>
          <w:b/>
          <w:color w:val="2F5496" w:themeColor="accent1" w:themeShade="BF"/>
          <w:szCs w:val="20"/>
        </w:rPr>
      </w:pPr>
    </w:p>
    <w:p w14:paraId="2A6AC1A0" w14:textId="77777777" w:rsidR="00AE2980" w:rsidRPr="00B670D0" w:rsidRDefault="1FB1BD7D" w:rsidP="66A1DF9F">
      <w:pPr>
        <w:pStyle w:val="ListParagraph"/>
        <w:numPr>
          <w:ilvl w:val="2"/>
          <w:numId w:val="11"/>
        </w:numPr>
        <w:rPr>
          <w:b/>
          <w:bCs/>
          <w:color w:val="2F5496" w:themeColor="accent1" w:themeShade="BF"/>
        </w:rPr>
      </w:pPr>
      <w:r>
        <w:t xml:space="preserve">Maldives Association of Travel Agents and Tour Operators (MATATO): Mr. Abdulla Suood, President, </w:t>
      </w:r>
      <w:hyperlink r:id="rId41">
        <w:r w:rsidRPr="66A1DF9F">
          <w:rPr>
            <w:rStyle w:val="Hyperlink"/>
          </w:rPr>
          <w:t>usha@matato.org</w:t>
        </w:r>
      </w:hyperlink>
      <w:r>
        <w:t xml:space="preserve"> </w:t>
      </w:r>
    </w:p>
    <w:p w14:paraId="5C92DC48" w14:textId="77777777" w:rsidR="00AE2980" w:rsidRPr="00B670D0" w:rsidRDefault="00AE2980" w:rsidP="00AE2980">
      <w:pPr>
        <w:pStyle w:val="ListParagraph"/>
        <w:rPr>
          <w:szCs w:val="20"/>
        </w:rPr>
      </w:pPr>
    </w:p>
    <w:p w14:paraId="541867D7" w14:textId="66C4A4E2" w:rsidR="003720B2" w:rsidRPr="001402CB" w:rsidRDefault="1FB1BD7D" w:rsidP="66A1DF9F">
      <w:pPr>
        <w:pStyle w:val="ListParagraph"/>
        <w:numPr>
          <w:ilvl w:val="2"/>
          <w:numId w:val="11"/>
        </w:numPr>
        <w:rPr>
          <w:b/>
          <w:bCs/>
          <w:color w:val="2F5496" w:themeColor="accent1" w:themeShade="BF"/>
        </w:rPr>
      </w:pPr>
      <w:r>
        <w:t>Maldives Association of Construction Industry (MACI)</w:t>
      </w:r>
      <w:r w:rsidR="3A434B69">
        <w:t xml:space="preserve">: Mr. Jaufar Easa Adam, Executive Board Member, Contact Number 7771388, </w:t>
      </w:r>
      <w:hyperlink r:id="rId42">
        <w:r w:rsidR="3A434B69" w:rsidRPr="66A1DF9F">
          <w:rPr>
            <w:rStyle w:val="Hyperlink"/>
          </w:rPr>
          <w:t>secretariat.maci@gmail.com</w:t>
        </w:r>
      </w:hyperlink>
      <w:r w:rsidR="3A434B69">
        <w:t xml:space="preserve"> , admin@maci.org.mv</w:t>
      </w:r>
    </w:p>
    <w:p w14:paraId="20F671DB" w14:textId="77777777" w:rsidR="001402CB" w:rsidRPr="001402CB" w:rsidRDefault="001402CB" w:rsidP="001402CB">
      <w:pPr>
        <w:pStyle w:val="ListParagraph"/>
        <w:ind w:left="2520"/>
        <w:rPr>
          <w:b/>
          <w:color w:val="2F5496" w:themeColor="accent1" w:themeShade="BF"/>
          <w:szCs w:val="20"/>
        </w:rPr>
      </w:pPr>
    </w:p>
    <w:p w14:paraId="412A1035" w14:textId="7A031A07" w:rsidR="006D05FF" w:rsidRDefault="00C77967" w:rsidP="006D05FF">
      <w:pPr>
        <w:pStyle w:val="ListParagraph"/>
        <w:numPr>
          <w:ilvl w:val="0"/>
          <w:numId w:val="11"/>
        </w:numPr>
        <w:ind w:left="1800"/>
        <w:rPr>
          <w:b/>
          <w:color w:val="2F5496" w:themeColor="accent1" w:themeShade="BF"/>
          <w:szCs w:val="20"/>
        </w:rPr>
      </w:pPr>
      <w:r w:rsidRPr="00CD3D9C">
        <w:rPr>
          <w:color w:val="000000" w:themeColor="text1"/>
          <w:szCs w:val="20"/>
        </w:rPr>
        <w:t>Private sector:</w:t>
      </w:r>
      <w:r w:rsidR="00B12926" w:rsidRPr="00CD3D9C">
        <w:rPr>
          <w:color w:val="000000" w:themeColor="text1"/>
          <w:szCs w:val="20"/>
        </w:rPr>
        <w:t xml:space="preserve"> </w:t>
      </w:r>
    </w:p>
    <w:p w14:paraId="690BAB4A" w14:textId="1E242624" w:rsidR="00AE2980" w:rsidRPr="00CB7590" w:rsidRDefault="00B8727B" w:rsidP="00CB7590">
      <w:pPr>
        <w:pStyle w:val="ListParagraph"/>
        <w:numPr>
          <w:ilvl w:val="2"/>
          <w:numId w:val="11"/>
        </w:numPr>
        <w:rPr>
          <w:szCs w:val="20"/>
        </w:rPr>
      </w:pPr>
      <w:r w:rsidRPr="00CB7590">
        <w:rPr>
          <w:szCs w:val="20"/>
        </w:rPr>
        <w:t>Maldives Fund Management Corporation (</w:t>
      </w:r>
      <w:r w:rsidR="00AE2980" w:rsidRPr="00CB7590">
        <w:rPr>
          <w:szCs w:val="20"/>
        </w:rPr>
        <w:t>MFMC</w:t>
      </w:r>
      <w:r w:rsidRPr="00CB7590">
        <w:rPr>
          <w:szCs w:val="20"/>
        </w:rPr>
        <w:t>)</w:t>
      </w:r>
      <w:r w:rsidR="004653E8" w:rsidRPr="00CB7590">
        <w:rPr>
          <w:szCs w:val="20"/>
        </w:rPr>
        <w:t xml:space="preserve">: Mr. Hassan Manik, Managing Director, Contact Number: 778565, </w:t>
      </w:r>
      <w:hyperlink r:id="rId43" w:history="1">
        <w:r w:rsidR="00CB7590" w:rsidRPr="005E4934">
          <w:rPr>
            <w:rStyle w:val="Hyperlink"/>
          </w:rPr>
          <w:t>hassan.manik@mfmc.org</w:t>
        </w:r>
      </w:hyperlink>
      <w:r w:rsidR="00CB7590">
        <w:t xml:space="preserve">  </w:t>
      </w:r>
      <w:r w:rsidR="00386F69" w:rsidRPr="00CB7590">
        <w:rPr>
          <w:szCs w:val="20"/>
        </w:rPr>
        <w:t xml:space="preserve"> </w:t>
      </w:r>
      <w:r w:rsidR="004653E8" w:rsidRPr="00CB7590">
        <w:rPr>
          <w:szCs w:val="20"/>
        </w:rPr>
        <w:t xml:space="preserve"> </w:t>
      </w:r>
      <w:r w:rsidR="00386F69" w:rsidRPr="00CB7590">
        <w:rPr>
          <w:szCs w:val="20"/>
        </w:rPr>
        <w:t xml:space="preserve"> </w:t>
      </w:r>
    </w:p>
    <w:p w14:paraId="0E9439BC" w14:textId="70FAE874" w:rsidR="00AE2980" w:rsidRPr="00AE2980" w:rsidRDefault="00AE2980" w:rsidP="00AE2980">
      <w:pPr>
        <w:pStyle w:val="ListParagraph"/>
        <w:ind w:left="2520"/>
        <w:rPr>
          <w:b/>
          <w:color w:val="2F5496" w:themeColor="accent1" w:themeShade="BF"/>
          <w:szCs w:val="20"/>
          <w:highlight w:val="yellow"/>
        </w:rPr>
      </w:pPr>
    </w:p>
    <w:p w14:paraId="4D57C79B" w14:textId="67F97BB5" w:rsidR="00AE0435" w:rsidRPr="00B670D0" w:rsidRDefault="5A312425" w:rsidP="66A1DF9F">
      <w:pPr>
        <w:pStyle w:val="ListParagraph"/>
        <w:numPr>
          <w:ilvl w:val="2"/>
          <w:numId w:val="11"/>
        </w:numPr>
        <w:rPr>
          <w:b/>
          <w:bCs/>
          <w:color w:val="2F5496" w:themeColor="accent1" w:themeShade="BF"/>
        </w:rPr>
      </w:pPr>
      <w:r>
        <w:t>Morteza Capital</w:t>
      </w:r>
      <w:r w:rsidR="2AD23A27">
        <w:t xml:space="preserve">: Mr. Ghaly Murthala, Managing Director, </w:t>
      </w:r>
      <w:hyperlink r:id="rId44">
        <w:r w:rsidR="2AD23A27" w:rsidRPr="66A1DF9F">
          <w:rPr>
            <w:rStyle w:val="Hyperlink"/>
          </w:rPr>
          <w:t>ghaly.murthala@mortezacapital.com</w:t>
        </w:r>
      </w:hyperlink>
      <w:r w:rsidR="2AD23A27">
        <w:t xml:space="preserve"> </w:t>
      </w:r>
    </w:p>
    <w:p w14:paraId="4461D467" w14:textId="2D93982C" w:rsidR="006D05FF" w:rsidRPr="00FB4EF5" w:rsidRDefault="006D05FF" w:rsidP="00D16D22">
      <w:pPr>
        <w:ind w:left="2160"/>
        <w:rPr>
          <w:b/>
          <w:color w:val="2F5496" w:themeColor="accent1" w:themeShade="BF"/>
        </w:rPr>
      </w:pPr>
    </w:p>
    <w:p w14:paraId="3F70220D" w14:textId="77777777" w:rsidR="006D05FF" w:rsidRPr="006D05FF" w:rsidRDefault="006D05FF" w:rsidP="001B37C5">
      <w:pPr>
        <w:pStyle w:val="ListParagraph"/>
        <w:ind w:left="1800"/>
        <w:rPr>
          <w:b/>
          <w:color w:val="2F5496" w:themeColor="accent1" w:themeShade="BF"/>
          <w:szCs w:val="20"/>
        </w:rPr>
      </w:pPr>
    </w:p>
    <w:p w14:paraId="780E4DEC" w14:textId="77777777" w:rsidR="00EC2C32" w:rsidRPr="003F08DF" w:rsidRDefault="00C77967" w:rsidP="00B12926">
      <w:pPr>
        <w:pStyle w:val="ListParagraph"/>
        <w:numPr>
          <w:ilvl w:val="0"/>
          <w:numId w:val="11"/>
        </w:numPr>
        <w:ind w:left="1800"/>
        <w:rPr>
          <w:b/>
          <w:color w:val="2F5496" w:themeColor="accent1" w:themeShade="BF"/>
          <w:szCs w:val="20"/>
        </w:rPr>
      </w:pPr>
      <w:r w:rsidRPr="003F08DF">
        <w:rPr>
          <w:color w:val="000000" w:themeColor="text1"/>
          <w:szCs w:val="20"/>
        </w:rPr>
        <w:t>International Financial Institutions</w:t>
      </w:r>
    </w:p>
    <w:p w14:paraId="53485836" w14:textId="13D1DB62" w:rsidR="00EC2C32" w:rsidRPr="003F08DF" w:rsidRDefault="00B64F83" w:rsidP="001B37C5">
      <w:pPr>
        <w:pStyle w:val="ListParagraph"/>
        <w:numPr>
          <w:ilvl w:val="2"/>
          <w:numId w:val="11"/>
        </w:numPr>
        <w:rPr>
          <w:bCs/>
          <w:szCs w:val="20"/>
        </w:rPr>
      </w:pPr>
      <w:r w:rsidRPr="003F08DF">
        <w:rPr>
          <w:bCs/>
          <w:szCs w:val="20"/>
        </w:rPr>
        <w:t>World Bank Group</w:t>
      </w:r>
      <w:r w:rsidR="0069363B" w:rsidRPr="003F08DF">
        <w:rPr>
          <w:bCs/>
          <w:szCs w:val="20"/>
        </w:rPr>
        <w:t xml:space="preserve">: Winston Percy Onipede Cole, Lead Governance Specialist – Financial Management, </w:t>
      </w:r>
      <w:hyperlink r:id="rId45" w:history="1">
        <w:r w:rsidR="00386F69" w:rsidRPr="003F08DF">
          <w:rPr>
            <w:rStyle w:val="Hyperlink"/>
            <w:bCs/>
            <w:szCs w:val="20"/>
          </w:rPr>
          <w:t>wcole@worldbank.org</w:t>
        </w:r>
      </w:hyperlink>
      <w:r w:rsidR="00386F69" w:rsidRPr="003F08DF">
        <w:rPr>
          <w:bCs/>
          <w:szCs w:val="20"/>
        </w:rPr>
        <w:t xml:space="preserve"> </w:t>
      </w:r>
    </w:p>
    <w:p w14:paraId="3837F306" w14:textId="77777777" w:rsidR="004427EB" w:rsidRPr="003F08DF" w:rsidRDefault="004427EB" w:rsidP="0069363B">
      <w:pPr>
        <w:pStyle w:val="ListParagraph"/>
        <w:ind w:left="2520"/>
        <w:rPr>
          <w:bCs/>
          <w:szCs w:val="20"/>
        </w:rPr>
      </w:pPr>
    </w:p>
    <w:p w14:paraId="4A0ED868" w14:textId="759D4603" w:rsidR="00A05FED" w:rsidRPr="007636FF" w:rsidRDefault="00EC2C32" w:rsidP="00B670D0">
      <w:pPr>
        <w:pStyle w:val="ListParagraph"/>
        <w:numPr>
          <w:ilvl w:val="2"/>
          <w:numId w:val="11"/>
        </w:numPr>
      </w:pPr>
      <w:r w:rsidRPr="007636FF">
        <w:t>A</w:t>
      </w:r>
      <w:r w:rsidR="00754826" w:rsidRPr="007636FF">
        <w:t xml:space="preserve">sian </w:t>
      </w:r>
      <w:r w:rsidRPr="007636FF">
        <w:t>D</w:t>
      </w:r>
      <w:r w:rsidR="00754826" w:rsidRPr="007636FF">
        <w:t xml:space="preserve">evelopment </w:t>
      </w:r>
      <w:r w:rsidRPr="007636FF">
        <w:t>B</w:t>
      </w:r>
      <w:r w:rsidR="00754826" w:rsidRPr="007636FF">
        <w:t>ank (ADB)</w:t>
      </w:r>
      <w:r w:rsidR="00A05FED" w:rsidRPr="007636FF">
        <w:t xml:space="preserve">: </w:t>
      </w:r>
      <w:r w:rsidR="00582C96" w:rsidRPr="007636FF">
        <w:t xml:space="preserve">Ms. </w:t>
      </w:r>
      <w:r w:rsidR="008B4AF1" w:rsidRPr="007636FF">
        <w:t>Jyotsana Varma</w:t>
      </w:r>
      <w:r w:rsidR="00A05FED" w:rsidRPr="007636FF">
        <w:rPr>
          <w:color w:val="000000" w:themeColor="text1"/>
        </w:rPr>
        <w:t xml:space="preserve">, </w:t>
      </w:r>
      <w:r w:rsidR="008B4AF1" w:rsidRPr="007636FF">
        <w:rPr>
          <w:color w:val="000000" w:themeColor="text1"/>
        </w:rPr>
        <w:t>Principal Regional Cooperation Specialist</w:t>
      </w:r>
      <w:r w:rsidR="00A05FED" w:rsidRPr="007636FF">
        <w:rPr>
          <w:color w:val="000000" w:themeColor="text1"/>
        </w:rPr>
        <w:t xml:space="preserve">, </w:t>
      </w:r>
      <w:r w:rsidR="00754826" w:rsidRPr="007636FF">
        <w:t>Email:</w:t>
      </w:r>
      <w:r w:rsidR="00B15736" w:rsidRPr="007636FF">
        <w:t xml:space="preserve"> </w:t>
      </w:r>
      <w:hyperlink r:id="rId46" w:history="1">
        <w:r w:rsidR="007636FF" w:rsidRPr="007636FF">
          <w:rPr>
            <w:rStyle w:val="Hyperlink"/>
          </w:rPr>
          <w:t>jvarma@adb.org</w:t>
        </w:r>
      </w:hyperlink>
      <w:r w:rsidR="00386F69" w:rsidRPr="007636FF">
        <w:t xml:space="preserve"> </w:t>
      </w:r>
      <w:r w:rsidR="00754826" w:rsidRPr="007636FF">
        <w:t xml:space="preserve"> </w:t>
      </w:r>
      <w:r w:rsidR="00A05FED" w:rsidRPr="007636FF">
        <w:rPr>
          <w:color w:val="000000" w:themeColor="text1"/>
        </w:rPr>
        <w:t>Tel +63-</w:t>
      </w:r>
      <w:r w:rsidR="007636FF" w:rsidRPr="007636FF">
        <w:rPr>
          <w:color w:val="000000" w:themeColor="text1"/>
        </w:rPr>
        <w:t>85512358</w:t>
      </w:r>
    </w:p>
    <w:p w14:paraId="0CE07E5C" w14:textId="77777777" w:rsidR="004427EB" w:rsidRPr="003F08DF" w:rsidRDefault="004427EB" w:rsidP="00386F69">
      <w:pPr>
        <w:rPr>
          <w:bCs/>
          <w:szCs w:val="20"/>
        </w:rPr>
      </w:pPr>
    </w:p>
    <w:p w14:paraId="65CD4BD4" w14:textId="2E47622A" w:rsidR="001B37C5" w:rsidRDefault="45AF1BA6" w:rsidP="00754826">
      <w:pPr>
        <w:pStyle w:val="ListParagraph"/>
        <w:numPr>
          <w:ilvl w:val="2"/>
          <w:numId w:val="11"/>
        </w:numPr>
      </w:pPr>
      <w:r>
        <w:t>Is</w:t>
      </w:r>
      <w:r w:rsidR="4B1018BF">
        <w:t>lamic Development Bank (Is</w:t>
      </w:r>
      <w:r>
        <w:t>DB</w:t>
      </w:r>
      <w:r w:rsidR="4B1018BF">
        <w:t xml:space="preserve">): Verdi Yusuf, Portfolio Management Specialist, </w:t>
      </w:r>
      <w:hyperlink r:id="rId47">
        <w:r w:rsidR="4B1018BF" w:rsidRPr="66A1DF9F">
          <w:rPr>
            <w:rStyle w:val="Hyperlink"/>
          </w:rPr>
          <w:t>vyusuf@isdb.org</w:t>
        </w:r>
      </w:hyperlink>
      <w:r w:rsidR="331CC0D6">
        <w:t xml:space="preserve"> , Tel: +966 2646 6930</w:t>
      </w:r>
    </w:p>
    <w:p w14:paraId="7F7ED81E" w14:textId="77777777" w:rsidR="00EC2C32" w:rsidRPr="00EC2C32" w:rsidRDefault="00EC2C32" w:rsidP="001B37C5">
      <w:pPr>
        <w:pStyle w:val="ListParagraph"/>
        <w:ind w:left="1800"/>
        <w:rPr>
          <w:bCs/>
          <w:szCs w:val="20"/>
        </w:rPr>
      </w:pPr>
    </w:p>
    <w:p w14:paraId="2B75F59F" w14:textId="05B964D0" w:rsidR="003720B2" w:rsidRPr="00E51916" w:rsidRDefault="00C77967" w:rsidP="003720B2">
      <w:pPr>
        <w:pStyle w:val="ListParagraph"/>
        <w:numPr>
          <w:ilvl w:val="0"/>
          <w:numId w:val="11"/>
        </w:numPr>
        <w:ind w:left="1800"/>
        <w:rPr>
          <w:b/>
          <w:color w:val="2F5496" w:themeColor="accent1" w:themeShade="BF"/>
          <w:szCs w:val="20"/>
        </w:rPr>
      </w:pPr>
      <w:r w:rsidRPr="00CD3D9C">
        <w:rPr>
          <w:color w:val="000000" w:themeColor="text1"/>
          <w:szCs w:val="20"/>
        </w:rPr>
        <w:t>Other partners:</w:t>
      </w:r>
      <w:r w:rsidR="00B12926" w:rsidRPr="00CD3D9C">
        <w:rPr>
          <w:color w:val="000000" w:themeColor="text1"/>
          <w:szCs w:val="20"/>
        </w:rPr>
        <w:t xml:space="preserve"> </w:t>
      </w:r>
    </w:p>
    <w:p w14:paraId="345D207F" w14:textId="77777777" w:rsidR="00E51916" w:rsidRDefault="00E51916" w:rsidP="00E51916">
      <w:pPr>
        <w:pStyle w:val="ListParagraph"/>
        <w:ind w:left="1800"/>
        <w:rPr>
          <w:b/>
          <w:color w:val="2F5496" w:themeColor="accent1" w:themeShade="BF"/>
          <w:szCs w:val="20"/>
        </w:rPr>
      </w:pPr>
    </w:p>
    <w:p w14:paraId="6920339A" w14:textId="21E17EDF" w:rsidR="00E15CDD" w:rsidRPr="00275BC7" w:rsidRDefault="003720B2" w:rsidP="00275BC7">
      <w:pPr>
        <w:pStyle w:val="ListParagraph"/>
        <w:numPr>
          <w:ilvl w:val="2"/>
          <w:numId w:val="11"/>
        </w:numPr>
        <w:rPr>
          <w:szCs w:val="20"/>
        </w:rPr>
      </w:pPr>
      <w:r>
        <w:rPr>
          <w:szCs w:val="20"/>
        </w:rPr>
        <w:t>UNDESA</w:t>
      </w:r>
      <w:r w:rsidR="00C50DC5">
        <w:rPr>
          <w:szCs w:val="20"/>
        </w:rPr>
        <w:t xml:space="preserve">: </w:t>
      </w:r>
      <w:r w:rsidR="00E80317" w:rsidRPr="00E80317">
        <w:rPr>
          <w:szCs w:val="20"/>
        </w:rPr>
        <w:t>Mr. Ola Goransson</w:t>
      </w:r>
      <w:r w:rsidR="00E80317">
        <w:rPr>
          <w:szCs w:val="20"/>
        </w:rPr>
        <w:t xml:space="preserve">, </w:t>
      </w:r>
      <w:r w:rsidR="00E80317" w:rsidRPr="00E80317">
        <w:rPr>
          <w:szCs w:val="20"/>
        </w:rPr>
        <w:t>Sustainable Development Officer and Project Coordinator of the 2030 Agenda Partnership Accelerator</w:t>
      </w:r>
      <w:r w:rsidR="00E80317">
        <w:rPr>
          <w:szCs w:val="20"/>
        </w:rPr>
        <w:t>,</w:t>
      </w:r>
      <w:hyperlink r:id="rId48" w:history="1">
        <w:r w:rsidR="00275BC7" w:rsidRPr="00275BC7">
          <w:rPr>
            <w:rStyle w:val="Hyperlink"/>
          </w:rPr>
          <w:t>goranssono@un.org</w:t>
        </w:r>
      </w:hyperlink>
      <w:r w:rsidR="00E80317" w:rsidRPr="00275BC7">
        <w:rPr>
          <w:szCs w:val="20"/>
        </w:rPr>
        <w:t xml:space="preserve"> Tel. +82-32-822-9088</w:t>
      </w:r>
    </w:p>
    <w:p w14:paraId="2AD0839F" w14:textId="77777777" w:rsidR="00E15CDD" w:rsidRDefault="00E15CDD" w:rsidP="00E15CDD">
      <w:pPr>
        <w:pStyle w:val="ListParagraph"/>
        <w:ind w:left="2520"/>
        <w:rPr>
          <w:szCs w:val="20"/>
        </w:rPr>
      </w:pPr>
    </w:p>
    <w:p w14:paraId="0B8E2D1F" w14:textId="7FE205BD" w:rsidR="00E15CDD" w:rsidRPr="00275BC7" w:rsidRDefault="46D41B1B" w:rsidP="00275BC7">
      <w:pPr>
        <w:pStyle w:val="ListParagraph"/>
        <w:numPr>
          <w:ilvl w:val="2"/>
          <w:numId w:val="11"/>
        </w:numPr>
      </w:pPr>
      <w:r>
        <w:t xml:space="preserve">UNESCAP: Mr Arman Bidarbakhtnia, Head, Statistical Data Management Unit (SDMU), </w:t>
      </w:r>
      <w:hyperlink r:id="rId49">
        <w:r w:rsidR="1E738096" w:rsidRPr="66A1DF9F">
          <w:rPr>
            <w:rStyle w:val="Hyperlink"/>
          </w:rPr>
          <w:t>bakhtnia@un.org</w:t>
        </w:r>
      </w:hyperlink>
      <w:r>
        <w:t xml:space="preserve"> , Tel: (66-2)288-1615</w:t>
      </w:r>
    </w:p>
    <w:p w14:paraId="4F2C2B6C" w14:textId="77777777" w:rsidR="003022FE" w:rsidRPr="003022FE" w:rsidRDefault="003022FE" w:rsidP="003022FE">
      <w:pPr>
        <w:pStyle w:val="ListParagraph"/>
        <w:rPr>
          <w:szCs w:val="20"/>
        </w:rPr>
      </w:pPr>
    </w:p>
    <w:p w14:paraId="18084537" w14:textId="1249B0DB" w:rsidR="004427EB" w:rsidRPr="003022FE" w:rsidRDefault="004427EB" w:rsidP="003022FE">
      <w:pPr>
        <w:pStyle w:val="ListParagraph"/>
        <w:numPr>
          <w:ilvl w:val="2"/>
          <w:numId w:val="11"/>
        </w:numPr>
        <w:rPr>
          <w:szCs w:val="20"/>
        </w:rPr>
      </w:pPr>
      <w:r w:rsidRPr="003022FE">
        <w:rPr>
          <w:szCs w:val="20"/>
        </w:rPr>
        <w:t xml:space="preserve">USAID: Nihani Riza, Project Manager, </w:t>
      </w:r>
      <w:hyperlink r:id="rId50" w:history="1">
        <w:r w:rsidRPr="003022FE">
          <w:rPr>
            <w:rStyle w:val="Hyperlink"/>
            <w:szCs w:val="20"/>
          </w:rPr>
          <w:t>nriza@usaid.gov</w:t>
        </w:r>
      </w:hyperlink>
      <w:r w:rsidRPr="003022FE">
        <w:rPr>
          <w:szCs w:val="20"/>
        </w:rPr>
        <w:t xml:space="preserve"> </w:t>
      </w:r>
    </w:p>
    <w:p w14:paraId="10EDCEB5" w14:textId="77777777" w:rsidR="003720B2" w:rsidRPr="00CD3D9C" w:rsidRDefault="003720B2" w:rsidP="002618E5">
      <w:pPr>
        <w:pStyle w:val="ListParagraph"/>
        <w:ind w:left="1800"/>
        <w:rPr>
          <w:b/>
          <w:color w:val="2F5496" w:themeColor="accent1" w:themeShade="BF"/>
          <w:szCs w:val="20"/>
        </w:rPr>
      </w:pPr>
    </w:p>
    <w:p w14:paraId="4CABC0A5" w14:textId="431F5B24" w:rsidR="00C56B1B" w:rsidRDefault="00C56B1B">
      <w:pPr>
        <w:spacing w:after="160" w:line="259" w:lineRule="auto"/>
        <w:rPr>
          <w:rFonts w:eastAsia="Times New Roman"/>
          <w:b/>
          <w:bCs/>
          <w:color w:val="000000" w:themeColor="text1"/>
          <w:szCs w:val="20"/>
          <w:lang w:eastAsia="en-GB"/>
        </w:rPr>
      </w:pPr>
    </w:p>
    <w:p w14:paraId="24F85423" w14:textId="0A565CCD" w:rsidR="00CB7590" w:rsidRDefault="00CB7590">
      <w:pPr>
        <w:spacing w:after="160" w:line="259" w:lineRule="auto"/>
        <w:rPr>
          <w:rFonts w:eastAsia="Times New Roman"/>
          <w:b/>
          <w:bCs/>
          <w:color w:val="000000" w:themeColor="text1"/>
          <w:szCs w:val="20"/>
          <w:lang w:eastAsia="en-GB"/>
        </w:rPr>
      </w:pPr>
    </w:p>
    <w:p w14:paraId="2E32E104" w14:textId="4FA0F0FD" w:rsidR="00CB7590" w:rsidRDefault="00CB7590">
      <w:pPr>
        <w:spacing w:after="160" w:line="259" w:lineRule="auto"/>
        <w:rPr>
          <w:rFonts w:eastAsia="Times New Roman"/>
          <w:b/>
          <w:bCs/>
          <w:color w:val="000000" w:themeColor="text1"/>
          <w:szCs w:val="20"/>
          <w:lang w:eastAsia="en-GB"/>
        </w:rPr>
      </w:pPr>
    </w:p>
    <w:p w14:paraId="6C49E729" w14:textId="5CD055F4" w:rsidR="00CB7590" w:rsidRDefault="00CB7590">
      <w:pPr>
        <w:spacing w:after="160" w:line="259" w:lineRule="auto"/>
        <w:rPr>
          <w:rFonts w:eastAsia="Times New Roman"/>
          <w:b/>
          <w:bCs/>
          <w:color w:val="000000" w:themeColor="text1"/>
          <w:szCs w:val="20"/>
          <w:lang w:eastAsia="en-GB"/>
        </w:rPr>
      </w:pPr>
    </w:p>
    <w:p w14:paraId="3F7E4AA8" w14:textId="626C2156" w:rsidR="00CB7590" w:rsidRDefault="00CB7590">
      <w:pPr>
        <w:spacing w:after="160" w:line="259" w:lineRule="auto"/>
        <w:rPr>
          <w:rFonts w:eastAsia="Times New Roman"/>
          <w:b/>
          <w:bCs/>
          <w:color w:val="000000" w:themeColor="text1"/>
          <w:szCs w:val="20"/>
          <w:lang w:eastAsia="en-GB"/>
        </w:rPr>
      </w:pPr>
    </w:p>
    <w:p w14:paraId="6947CD56" w14:textId="02CC49B4" w:rsidR="00CB7590" w:rsidRDefault="00CB7590">
      <w:pPr>
        <w:spacing w:after="160" w:line="259" w:lineRule="auto"/>
        <w:rPr>
          <w:rFonts w:eastAsia="Times New Roman"/>
          <w:b/>
          <w:bCs/>
          <w:color w:val="000000" w:themeColor="text1"/>
          <w:szCs w:val="20"/>
          <w:lang w:eastAsia="en-GB"/>
        </w:rPr>
      </w:pPr>
    </w:p>
    <w:p w14:paraId="7234286C" w14:textId="093BFAB3" w:rsidR="00CB7590" w:rsidRDefault="00CB7590">
      <w:pPr>
        <w:spacing w:after="160" w:line="259" w:lineRule="auto"/>
        <w:rPr>
          <w:rFonts w:eastAsia="Times New Roman"/>
          <w:b/>
          <w:bCs/>
          <w:color w:val="000000" w:themeColor="text1"/>
          <w:szCs w:val="20"/>
          <w:lang w:eastAsia="en-GB"/>
        </w:rPr>
      </w:pPr>
    </w:p>
    <w:p w14:paraId="5D0D5CB3" w14:textId="0EC24332" w:rsidR="00CB7590" w:rsidRDefault="00CB7590">
      <w:pPr>
        <w:spacing w:after="160" w:line="259" w:lineRule="auto"/>
        <w:rPr>
          <w:rFonts w:eastAsia="Times New Roman"/>
          <w:b/>
          <w:bCs/>
          <w:color w:val="000000" w:themeColor="text1"/>
          <w:szCs w:val="20"/>
          <w:lang w:eastAsia="en-GB"/>
        </w:rPr>
      </w:pPr>
    </w:p>
    <w:p w14:paraId="4D98857E" w14:textId="44C9D62E" w:rsidR="00CB7590" w:rsidRDefault="00CB7590">
      <w:pPr>
        <w:spacing w:after="160" w:line="259" w:lineRule="auto"/>
        <w:rPr>
          <w:rFonts w:eastAsia="Times New Roman"/>
          <w:b/>
          <w:bCs/>
          <w:color w:val="000000" w:themeColor="text1"/>
          <w:szCs w:val="20"/>
          <w:lang w:eastAsia="en-GB"/>
        </w:rPr>
      </w:pPr>
    </w:p>
    <w:p w14:paraId="0E2A6CF8" w14:textId="4FE87300" w:rsidR="00CB7590" w:rsidRDefault="00CB7590">
      <w:pPr>
        <w:spacing w:after="160" w:line="259" w:lineRule="auto"/>
        <w:rPr>
          <w:rFonts w:eastAsia="Times New Roman"/>
          <w:b/>
          <w:bCs/>
          <w:color w:val="000000" w:themeColor="text1"/>
          <w:szCs w:val="20"/>
          <w:lang w:eastAsia="en-GB"/>
        </w:rPr>
      </w:pPr>
    </w:p>
    <w:p w14:paraId="4DB3B50F" w14:textId="6DF43C6C" w:rsidR="004C32CB" w:rsidRDefault="004C32CB" w:rsidP="001134F6">
      <w:pPr>
        <w:rPr>
          <w:rFonts w:eastAsia="Times New Roman"/>
          <w:b/>
          <w:bCs/>
          <w:color w:val="000000" w:themeColor="text1"/>
          <w:szCs w:val="20"/>
          <w:lang w:eastAsia="en-GB"/>
        </w:rPr>
      </w:pPr>
    </w:p>
    <w:p w14:paraId="4DBEFD16" w14:textId="77777777" w:rsidR="007636FF" w:rsidRPr="00CD3D9C" w:rsidRDefault="007636FF" w:rsidP="001134F6">
      <w:pPr>
        <w:rPr>
          <w:rFonts w:eastAsia="Times New Roman"/>
          <w:b/>
          <w:bCs/>
          <w:color w:val="000000" w:themeColor="text1"/>
          <w:szCs w:val="20"/>
          <w:lang w:eastAsia="en-GB"/>
        </w:rPr>
      </w:pPr>
    </w:p>
    <w:p w14:paraId="6D5BF3A0" w14:textId="77777777" w:rsidR="00FF619A" w:rsidRDefault="00FF619A" w:rsidP="66A1DF9F">
      <w:pPr>
        <w:rPr>
          <w:rFonts w:eastAsia="Times New Roman"/>
          <w:b/>
          <w:bCs/>
          <w:color w:val="000000" w:themeColor="text1"/>
          <w:lang w:eastAsia="en-GB"/>
        </w:rPr>
      </w:pPr>
    </w:p>
    <w:p w14:paraId="524E8DC6" w14:textId="0C066BA3" w:rsidR="001134F6" w:rsidRDefault="001134F6" w:rsidP="001134F6">
      <w:pPr>
        <w:rPr>
          <w:rFonts w:eastAsia="Times New Roman"/>
          <w:b/>
          <w:bCs/>
          <w:color w:val="000000" w:themeColor="text1"/>
          <w:szCs w:val="20"/>
          <w:lang w:eastAsia="en-GB"/>
        </w:rPr>
      </w:pPr>
      <w:r w:rsidRPr="00CD3D9C">
        <w:rPr>
          <w:rFonts w:eastAsia="Times New Roman"/>
          <w:b/>
          <w:bCs/>
          <w:color w:val="000000" w:themeColor="text1"/>
          <w:szCs w:val="20"/>
          <w:lang w:eastAsia="en-GB"/>
        </w:rPr>
        <w:lastRenderedPageBreak/>
        <w:t>SIGNATURE PAGE</w:t>
      </w:r>
    </w:p>
    <w:p w14:paraId="2D235C7D" w14:textId="289A24F6" w:rsidR="007C2B88" w:rsidRDefault="00782329" w:rsidP="001134F6">
      <w:pPr>
        <w:rPr>
          <w:rFonts w:eastAsia="Times New Roman"/>
          <w:b/>
          <w:bCs/>
          <w:color w:val="000000" w:themeColor="text1"/>
          <w:szCs w:val="20"/>
          <w:lang w:eastAsia="en-GB"/>
        </w:rPr>
      </w:pPr>
      <w:r w:rsidRPr="00782329">
        <w:rPr>
          <w:noProof/>
        </w:rPr>
        <w:drawing>
          <wp:anchor distT="0" distB="0" distL="114300" distR="114300" simplePos="0" relativeHeight="251658240" behindDoc="0" locked="0" layoutInCell="1" allowOverlap="1" wp14:anchorId="041AC752" wp14:editId="6494E933">
            <wp:simplePos x="0" y="0"/>
            <wp:positionH relativeFrom="column">
              <wp:posOffset>-52705</wp:posOffset>
            </wp:positionH>
            <wp:positionV relativeFrom="paragraph">
              <wp:posOffset>163195</wp:posOffset>
            </wp:positionV>
            <wp:extent cx="5933440" cy="7391400"/>
            <wp:effectExtent l="0" t="0" r="0" b="0"/>
            <wp:wrapTopAndBottom/>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51">
                      <a:extLst>
                        <a:ext uri="{28A0092B-C50C-407E-A947-70E740481C1C}">
                          <a14:useLocalDpi xmlns:a14="http://schemas.microsoft.com/office/drawing/2010/main" val="0"/>
                        </a:ext>
                      </a:extLst>
                    </a:blip>
                    <a:stretch>
                      <a:fillRect/>
                    </a:stretch>
                  </pic:blipFill>
                  <pic:spPr>
                    <a:xfrm>
                      <a:off x="0" y="0"/>
                      <a:ext cx="5933440" cy="7391400"/>
                    </a:xfrm>
                    <a:prstGeom prst="rect">
                      <a:avLst/>
                    </a:prstGeom>
                  </pic:spPr>
                </pic:pic>
              </a:graphicData>
            </a:graphic>
            <wp14:sizeRelH relativeFrom="margin">
              <wp14:pctWidth>0</wp14:pctWidth>
            </wp14:sizeRelH>
            <wp14:sizeRelV relativeFrom="margin">
              <wp14:pctHeight>0</wp14:pctHeight>
            </wp14:sizeRelV>
          </wp:anchor>
        </w:drawing>
      </w:r>
    </w:p>
    <w:p w14:paraId="5448D256" w14:textId="3ADAE967" w:rsidR="007C2B88" w:rsidRPr="00CD3D9C" w:rsidRDefault="007C2B88" w:rsidP="001134F6">
      <w:pPr>
        <w:rPr>
          <w:rFonts w:eastAsia="Times New Roman"/>
          <w:b/>
          <w:bCs/>
          <w:color w:val="000000" w:themeColor="text1"/>
          <w:szCs w:val="20"/>
          <w:lang w:eastAsia="en-GB"/>
        </w:rPr>
      </w:pPr>
    </w:p>
    <w:p w14:paraId="7289F0FB" w14:textId="36C46D19" w:rsidR="004C2B40" w:rsidRPr="00CD3D9C" w:rsidRDefault="004C2B40" w:rsidP="001134F6">
      <w:pPr>
        <w:contextualSpacing/>
        <w:rPr>
          <w:rFonts w:eastAsia="Times New Roman"/>
          <w:i/>
          <w:iCs/>
          <w:color w:val="C45911" w:themeColor="accent2" w:themeShade="BF"/>
          <w:szCs w:val="20"/>
          <w:lang w:eastAsia="en-GB"/>
        </w:rPr>
      </w:pPr>
    </w:p>
    <w:p w14:paraId="535F8DCE" w14:textId="61779F4B" w:rsidR="001134F6" w:rsidRPr="00CB7590" w:rsidRDefault="001134F6" w:rsidP="001134F6">
      <w:pPr>
        <w:contextualSpacing/>
        <w:rPr>
          <w:rFonts w:eastAsia="Times New Roman"/>
          <w:color w:val="C45911" w:themeColor="accent2" w:themeShade="BF"/>
          <w:szCs w:val="20"/>
          <w:lang w:eastAsia="en-GB"/>
        </w:rPr>
      </w:pPr>
    </w:p>
    <w:p w14:paraId="064260A0" w14:textId="77777777" w:rsidR="004C2B40" w:rsidRPr="00CD3D9C" w:rsidRDefault="004C2B40" w:rsidP="001134F6">
      <w:pPr>
        <w:contextualSpacing/>
        <w:rPr>
          <w:rFonts w:eastAsia="Times New Roman"/>
          <w:i/>
          <w:iCs/>
          <w:color w:val="C45911" w:themeColor="accent2" w:themeShade="BF"/>
          <w:szCs w:val="20"/>
          <w:lang w:eastAsia="en-GB"/>
        </w:rPr>
      </w:pPr>
    </w:p>
    <w:p w14:paraId="5803C6EF" w14:textId="77777777" w:rsidR="001134F6" w:rsidRPr="00CD3D9C" w:rsidRDefault="001134F6" w:rsidP="001134F6">
      <w:pPr>
        <w:rPr>
          <w:rFonts w:eastAsia="Times New Roman"/>
          <w:color w:val="000000" w:themeColor="text1"/>
          <w:szCs w:val="20"/>
          <w:u w:val="single"/>
          <w:lang w:eastAsia="en-GB"/>
        </w:rPr>
      </w:pPr>
    </w:p>
    <w:p w14:paraId="1A0A4016" w14:textId="77777777" w:rsidR="00955D6F" w:rsidRPr="00CD3D9C" w:rsidRDefault="00955D6F" w:rsidP="001134F6">
      <w:pPr>
        <w:contextualSpacing/>
        <w:rPr>
          <w:rFonts w:eastAsia="Times New Roman"/>
          <w:color w:val="000000" w:themeColor="text1"/>
          <w:szCs w:val="20"/>
          <w:u w:val="single"/>
          <w:lang w:eastAsia="en-GB"/>
        </w:rPr>
      </w:pPr>
    </w:p>
    <w:p w14:paraId="22A9A5FE" w14:textId="45F4B245" w:rsidR="00527B56" w:rsidRPr="00CD3D9C" w:rsidRDefault="001134F6" w:rsidP="001134F6">
      <w:pPr>
        <w:jc w:val="center"/>
        <w:rPr>
          <w:b/>
          <w:caps/>
          <w:color w:val="0070C0"/>
          <w:szCs w:val="20"/>
        </w:rPr>
      </w:pPr>
      <w:r w:rsidRPr="00CD3D9C">
        <w:rPr>
          <w:b/>
          <w:caps/>
          <w:color w:val="0070C0"/>
          <w:szCs w:val="20"/>
        </w:rPr>
        <w:t>B</w:t>
      </w:r>
      <w:r w:rsidR="00C54169" w:rsidRPr="00CD3D9C">
        <w:rPr>
          <w:b/>
          <w:caps/>
          <w:color w:val="0070C0"/>
          <w:szCs w:val="20"/>
        </w:rPr>
        <w:t>.</w:t>
      </w:r>
      <w:r w:rsidR="009E3D2F" w:rsidRPr="00CD3D9C">
        <w:rPr>
          <w:b/>
          <w:caps/>
          <w:color w:val="0070C0"/>
          <w:szCs w:val="20"/>
        </w:rPr>
        <w:t xml:space="preserve"> </w:t>
      </w:r>
      <w:r w:rsidR="00527B56" w:rsidRPr="00CD3D9C">
        <w:rPr>
          <w:b/>
          <w:caps/>
          <w:color w:val="0070C0"/>
          <w:szCs w:val="20"/>
        </w:rPr>
        <w:t>STRATEGIC FRAMEWORK</w:t>
      </w:r>
    </w:p>
    <w:p w14:paraId="0A964604" w14:textId="5500BC68" w:rsidR="00527B56" w:rsidRPr="00CD3D9C" w:rsidRDefault="00527B56" w:rsidP="001134F6">
      <w:pPr>
        <w:contextualSpacing/>
        <w:rPr>
          <w:rFonts w:eastAsia="Times New Roman"/>
          <w:color w:val="000000" w:themeColor="text1"/>
          <w:szCs w:val="20"/>
          <w:u w:val="single"/>
          <w:lang w:eastAsia="en-GB"/>
        </w:rPr>
      </w:pPr>
    </w:p>
    <w:p w14:paraId="1848D5B3" w14:textId="77777777" w:rsidR="004C32CB" w:rsidRPr="00CD3D9C" w:rsidRDefault="004C32CB" w:rsidP="001134F6">
      <w:pPr>
        <w:contextualSpacing/>
        <w:rPr>
          <w:rFonts w:eastAsia="Times New Roman"/>
          <w:color w:val="000000" w:themeColor="text1"/>
          <w:szCs w:val="20"/>
          <w:u w:val="single"/>
          <w:lang w:eastAsia="en-GB"/>
        </w:rPr>
      </w:pPr>
    </w:p>
    <w:p w14:paraId="66763EAD" w14:textId="78483A81" w:rsidR="00A3252A" w:rsidRPr="00CD3D9C" w:rsidRDefault="009E3D2F" w:rsidP="001134F6">
      <w:pPr>
        <w:contextualSpacing/>
        <w:rPr>
          <w:rFonts w:eastAsia="Times New Roman"/>
          <w:color w:val="000000" w:themeColor="text1"/>
          <w:szCs w:val="20"/>
          <w:lang w:eastAsia="en-GB"/>
        </w:rPr>
      </w:pPr>
      <w:r w:rsidRPr="00CD3D9C">
        <w:rPr>
          <w:rFonts w:eastAsia="Times New Roman"/>
          <w:b/>
          <w:bCs/>
          <w:color w:val="000000" w:themeColor="text1"/>
          <w:szCs w:val="20"/>
          <w:lang w:eastAsia="en-GB"/>
        </w:rPr>
        <w:t>1</w:t>
      </w:r>
      <w:r w:rsidR="002A6098" w:rsidRPr="00CD3D9C">
        <w:rPr>
          <w:rFonts w:eastAsia="Times New Roman"/>
          <w:b/>
          <w:bCs/>
          <w:color w:val="000000" w:themeColor="text1"/>
          <w:szCs w:val="20"/>
          <w:lang w:eastAsia="en-GB"/>
        </w:rPr>
        <w:t>.</w:t>
      </w:r>
      <w:r w:rsidRPr="00CD3D9C">
        <w:rPr>
          <w:rFonts w:eastAsia="Times New Roman"/>
          <w:b/>
          <w:bCs/>
          <w:color w:val="000000" w:themeColor="text1"/>
          <w:szCs w:val="20"/>
          <w:lang w:eastAsia="en-GB"/>
        </w:rPr>
        <w:t xml:space="preserve"> </w:t>
      </w:r>
      <w:r w:rsidR="00527B56" w:rsidRPr="00CD3D9C">
        <w:rPr>
          <w:rFonts w:eastAsia="Times New Roman"/>
          <w:b/>
          <w:bCs/>
          <w:color w:val="000000" w:themeColor="text1"/>
          <w:szCs w:val="20"/>
          <w:lang w:eastAsia="en-GB"/>
        </w:rPr>
        <w:t>Call for Concept Notes</w:t>
      </w:r>
      <w:r w:rsidR="00F94ACD" w:rsidRPr="00CD3D9C">
        <w:rPr>
          <w:rFonts w:eastAsia="Times New Roman"/>
          <w:color w:val="000000" w:themeColor="text1"/>
          <w:szCs w:val="20"/>
          <w:lang w:eastAsia="en-GB"/>
        </w:rPr>
        <w:t xml:space="preserve">: </w:t>
      </w:r>
      <w:r w:rsidR="00C56B1B" w:rsidRPr="00CD3D9C">
        <w:rPr>
          <w:rFonts w:eastAsia="Times New Roman"/>
          <w:color w:val="000000" w:themeColor="text1"/>
          <w:szCs w:val="20"/>
          <w:lang w:eastAsia="en-GB"/>
        </w:rPr>
        <w:t>SDG Financing (2</w:t>
      </w:r>
      <w:r w:rsidR="00F94ACD" w:rsidRPr="00CD3D9C">
        <w:rPr>
          <w:rFonts w:eastAsia="Times New Roman"/>
          <w:color w:val="000000" w:themeColor="text1"/>
          <w:szCs w:val="20"/>
          <w:lang w:eastAsia="en-GB"/>
        </w:rPr>
        <w:t>/2019</w:t>
      </w:r>
      <w:r w:rsidR="00C56B1B" w:rsidRPr="00CD3D9C">
        <w:rPr>
          <w:rFonts w:eastAsia="Times New Roman"/>
          <w:color w:val="000000" w:themeColor="text1"/>
          <w:szCs w:val="20"/>
          <w:lang w:eastAsia="en-GB"/>
        </w:rPr>
        <w:t>) – Component 1</w:t>
      </w:r>
    </w:p>
    <w:p w14:paraId="480B71CA" w14:textId="77777777" w:rsidR="00A3252A" w:rsidRPr="00CD3D9C" w:rsidRDefault="00A3252A" w:rsidP="001134F6">
      <w:pPr>
        <w:contextualSpacing/>
        <w:rPr>
          <w:rFonts w:eastAsia="Times New Roman"/>
          <w:color w:val="000000" w:themeColor="text1"/>
          <w:szCs w:val="20"/>
          <w:lang w:eastAsia="en-GB"/>
        </w:rPr>
      </w:pPr>
    </w:p>
    <w:p w14:paraId="6297FC5C" w14:textId="61E1EC62" w:rsidR="008C54E3" w:rsidRPr="00CD3D9C" w:rsidRDefault="520574D8" w:rsidP="66A1DF9F">
      <w:pPr>
        <w:contextualSpacing/>
        <w:rPr>
          <w:rFonts w:eastAsia="Times New Roman"/>
          <w:b/>
          <w:bCs/>
          <w:color w:val="000000" w:themeColor="text1"/>
          <w:lang w:eastAsia="en-GB"/>
        </w:rPr>
      </w:pPr>
      <w:r w:rsidRPr="66A1DF9F">
        <w:rPr>
          <w:rFonts w:eastAsia="Times New Roman"/>
          <w:b/>
          <w:bCs/>
          <w:color w:val="000000" w:themeColor="text1"/>
          <w:lang w:eastAsia="en-GB"/>
        </w:rPr>
        <w:t xml:space="preserve">2. </w:t>
      </w:r>
      <w:r w:rsidR="280FD68E" w:rsidRPr="66A1DF9F">
        <w:rPr>
          <w:rFonts w:eastAsia="Times New Roman"/>
          <w:b/>
          <w:bCs/>
          <w:color w:val="000000" w:themeColor="text1"/>
          <w:lang w:eastAsia="en-GB"/>
        </w:rPr>
        <w:t xml:space="preserve">Programme Outcome </w:t>
      </w:r>
      <w:r w:rsidR="76C811A4" w:rsidRPr="66A1DF9F">
        <w:rPr>
          <w:rFonts w:eastAsia="Times New Roman"/>
          <w:b/>
          <w:bCs/>
          <w:color w:val="000000" w:themeColor="text1"/>
          <w:lang w:eastAsia="en-GB"/>
        </w:rPr>
        <w:t>[pre-selected]</w:t>
      </w:r>
    </w:p>
    <w:p w14:paraId="381D186E" w14:textId="4A0C1601" w:rsidR="00541E50" w:rsidRPr="00CD3D9C" w:rsidRDefault="005C2311" w:rsidP="001134F6">
      <w:pPr>
        <w:pStyle w:val="ListParagraph"/>
        <w:numPr>
          <w:ilvl w:val="0"/>
          <w:numId w:val="11"/>
        </w:numPr>
        <w:rPr>
          <w:rFonts w:eastAsiaTheme="majorEastAsia"/>
          <w:bCs/>
          <w:color w:val="000000" w:themeColor="text1"/>
          <w:szCs w:val="20"/>
        </w:rPr>
      </w:pPr>
      <w:r w:rsidRPr="00CD3D9C">
        <w:rPr>
          <w:rFonts w:eastAsiaTheme="majorEastAsia"/>
          <w:bCs/>
          <w:color w:val="000000" w:themeColor="text1"/>
          <w:szCs w:val="20"/>
        </w:rPr>
        <w:t>Additional financing leveraged to accelerate SDG achievement</w:t>
      </w:r>
      <w:r w:rsidR="008B48A7" w:rsidRPr="00CD3D9C">
        <w:rPr>
          <w:rFonts w:eastAsiaTheme="majorEastAsia"/>
          <w:bCs/>
          <w:color w:val="000000" w:themeColor="text1"/>
          <w:szCs w:val="20"/>
        </w:rPr>
        <w:t xml:space="preserve"> </w:t>
      </w:r>
      <w:r w:rsidR="00765EE6" w:rsidRPr="00CD3D9C">
        <w:rPr>
          <w:rFonts w:eastAsiaTheme="majorEastAsia"/>
          <w:bCs/>
          <w:color w:val="000000" w:themeColor="text1"/>
          <w:szCs w:val="20"/>
        </w:rPr>
        <w:t>(Joint SDG Fund Outcome 2)</w:t>
      </w:r>
    </w:p>
    <w:p w14:paraId="38192B34" w14:textId="77777777" w:rsidR="000847F3" w:rsidRPr="00CD3D9C" w:rsidRDefault="000847F3" w:rsidP="001134F6">
      <w:pPr>
        <w:rPr>
          <w:rFonts w:eastAsia="Times New Roman"/>
          <w:color w:val="000000" w:themeColor="text1"/>
          <w:szCs w:val="20"/>
          <w:lang w:eastAsia="en-GB"/>
        </w:rPr>
      </w:pPr>
    </w:p>
    <w:p w14:paraId="4CB4F955" w14:textId="08252537" w:rsidR="00DB1093" w:rsidRPr="00CD3D9C" w:rsidRDefault="00DB1093" w:rsidP="001134F6">
      <w:pPr>
        <w:rPr>
          <w:rFonts w:eastAsia="Times New Roman"/>
          <w:i/>
          <w:iCs/>
          <w:color w:val="C45911" w:themeColor="accent2" w:themeShade="BF"/>
          <w:szCs w:val="20"/>
          <w:lang w:eastAsia="en-GB"/>
        </w:rPr>
      </w:pPr>
      <w:r w:rsidRPr="00CD3D9C">
        <w:rPr>
          <w:rFonts w:eastAsia="Times New Roman"/>
          <w:b/>
          <w:bCs/>
          <w:color w:val="000000" w:themeColor="text1"/>
          <w:szCs w:val="20"/>
          <w:lang w:eastAsia="en-GB"/>
        </w:rPr>
        <w:t xml:space="preserve">3. </w:t>
      </w:r>
      <w:r w:rsidR="00765EE6" w:rsidRPr="00CD3D9C">
        <w:rPr>
          <w:rFonts w:eastAsia="Times New Roman"/>
          <w:b/>
          <w:bCs/>
          <w:color w:val="000000" w:themeColor="text1"/>
          <w:szCs w:val="20"/>
          <w:lang w:eastAsia="en-GB"/>
        </w:rPr>
        <w:t>UNDAF Outcomes and Outputs</w:t>
      </w:r>
      <w:r w:rsidRPr="00CD3D9C">
        <w:rPr>
          <w:rFonts w:eastAsia="Times New Roman"/>
          <w:b/>
          <w:bCs/>
          <w:color w:val="000000" w:themeColor="text1"/>
          <w:szCs w:val="20"/>
          <w:lang w:eastAsia="en-GB"/>
        </w:rPr>
        <w:t xml:space="preserve"> </w:t>
      </w:r>
    </w:p>
    <w:p w14:paraId="50DF7892" w14:textId="77777777" w:rsidR="00765EE6" w:rsidRPr="00CD3D9C" w:rsidRDefault="00765EE6" w:rsidP="001134F6">
      <w:pPr>
        <w:rPr>
          <w:rFonts w:eastAsia="Times New Roman"/>
          <w:b/>
          <w:bCs/>
          <w:color w:val="000000" w:themeColor="text1"/>
          <w:szCs w:val="20"/>
          <w:lang w:eastAsia="en-GB"/>
        </w:rPr>
      </w:pPr>
    </w:p>
    <w:p w14:paraId="76067FDD" w14:textId="66A713D9" w:rsidR="00DB1093" w:rsidRDefault="0073663C" w:rsidP="006D7DB6">
      <w:pPr>
        <w:ind w:left="720"/>
        <w:contextualSpacing/>
        <w:rPr>
          <w:color w:val="000000" w:themeColor="text1"/>
          <w:szCs w:val="20"/>
          <w:lang w:eastAsia="en-GB"/>
        </w:rPr>
      </w:pPr>
      <w:r w:rsidRPr="0073663C">
        <w:rPr>
          <w:color w:val="000000" w:themeColor="text1"/>
          <w:szCs w:val="20"/>
          <w:lang w:eastAsia="en-GB"/>
        </w:rPr>
        <w:t>Outcome 3: By 2020, citizen expectations for voice, sustainable development, the rule of law and accountability are met by stronger systems of democratic governance</w:t>
      </w:r>
    </w:p>
    <w:p w14:paraId="33417955" w14:textId="77777777" w:rsidR="0073663C" w:rsidRPr="00CD3D9C" w:rsidRDefault="0073663C" w:rsidP="00C62842">
      <w:pPr>
        <w:pStyle w:val="ListParagraph"/>
        <w:ind w:left="1710"/>
        <w:rPr>
          <w:color w:val="000000" w:themeColor="text1"/>
          <w:szCs w:val="20"/>
          <w:lang w:eastAsia="en-GB"/>
        </w:rPr>
      </w:pPr>
    </w:p>
    <w:p w14:paraId="1E25E3C8" w14:textId="56B6BE00" w:rsidR="0073663C" w:rsidRPr="006D7DB6" w:rsidRDefault="40AE61C7" w:rsidP="66A1DF9F">
      <w:pPr>
        <w:ind w:left="720"/>
        <w:contextualSpacing/>
        <w:rPr>
          <w:rFonts w:eastAsia="Times New Roman"/>
          <w:color w:val="000000" w:themeColor="text1"/>
          <w:u w:val="single"/>
          <w:lang w:eastAsia="en-GB"/>
        </w:rPr>
      </w:pPr>
      <w:r w:rsidRPr="66A1DF9F">
        <w:rPr>
          <w:rFonts w:eastAsia="Times New Roman"/>
          <w:color w:val="000000" w:themeColor="text1"/>
          <w:lang w:eastAsia="en-GB"/>
        </w:rPr>
        <w:t xml:space="preserve">Output </w:t>
      </w:r>
      <w:r w:rsidR="2AEA1A41" w:rsidRPr="66A1DF9F">
        <w:rPr>
          <w:rFonts w:eastAsia="Times New Roman"/>
          <w:color w:val="000000" w:themeColor="text1"/>
          <w:lang w:eastAsia="en-GB"/>
        </w:rPr>
        <w:t>3.</w:t>
      </w:r>
      <w:r w:rsidR="0C37C345" w:rsidRPr="66A1DF9F">
        <w:rPr>
          <w:rFonts w:eastAsia="Times New Roman"/>
          <w:color w:val="000000" w:themeColor="text1"/>
          <w:lang w:eastAsia="en-GB"/>
        </w:rPr>
        <w:t>3</w:t>
      </w:r>
      <w:r w:rsidRPr="66A1DF9F">
        <w:rPr>
          <w:rFonts w:eastAsia="Times New Roman"/>
          <w:color w:val="000000" w:themeColor="text1"/>
          <w:lang w:eastAsia="en-GB"/>
        </w:rPr>
        <w:t xml:space="preserve">: </w:t>
      </w:r>
      <w:r w:rsidR="0C37C345" w:rsidRPr="66A1DF9F">
        <w:rPr>
          <w:rFonts w:eastAsia="Times New Roman"/>
          <w:color w:val="000000" w:themeColor="text1"/>
          <w:lang w:eastAsia="en-GB"/>
        </w:rPr>
        <w:t xml:space="preserve"> </w:t>
      </w:r>
      <w:r w:rsidR="0C37C345" w:rsidRPr="66A1DF9F">
        <w:rPr>
          <w:color w:val="000000" w:themeColor="text1"/>
          <w:lang w:eastAsia="en-GB"/>
        </w:rPr>
        <w:t>By 2020, mechanisms and frameworks are developed to promote inclusive and sustainable growth, economic diversification, social protection and improved employment conditions for vulnerable groups</w:t>
      </w:r>
    </w:p>
    <w:p w14:paraId="184CF97C" w14:textId="77777777" w:rsidR="00DB1093" w:rsidRPr="00FB4EF5" w:rsidRDefault="00DB1093" w:rsidP="00D16D22">
      <w:pPr>
        <w:rPr>
          <w:color w:val="000000" w:themeColor="text1"/>
        </w:rPr>
      </w:pPr>
    </w:p>
    <w:p w14:paraId="605F8D1A" w14:textId="77777777" w:rsidR="00DB1093" w:rsidRPr="00CD3D9C" w:rsidRDefault="00DB1093" w:rsidP="001134F6">
      <w:pPr>
        <w:rPr>
          <w:rFonts w:eastAsia="Times New Roman"/>
          <w:color w:val="000000" w:themeColor="text1"/>
          <w:szCs w:val="20"/>
          <w:lang w:eastAsia="en-GB"/>
        </w:rPr>
      </w:pPr>
    </w:p>
    <w:p w14:paraId="14643852" w14:textId="32AC5AE4" w:rsidR="00527B56" w:rsidRPr="00CD3D9C" w:rsidRDefault="2AEA1A41" w:rsidP="66A1DF9F">
      <w:pPr>
        <w:rPr>
          <w:rFonts w:eastAsia="Times New Roman"/>
          <w:b/>
          <w:bCs/>
          <w:color w:val="000000" w:themeColor="text1"/>
          <w:lang w:eastAsia="en-GB"/>
        </w:rPr>
      </w:pPr>
      <w:r w:rsidRPr="66A1DF9F">
        <w:rPr>
          <w:rFonts w:eastAsia="Times New Roman"/>
          <w:b/>
          <w:bCs/>
          <w:color w:val="000000" w:themeColor="text1"/>
          <w:lang w:eastAsia="en-GB"/>
        </w:rPr>
        <w:t>4</w:t>
      </w:r>
      <w:r w:rsidR="2A297105" w:rsidRPr="66A1DF9F">
        <w:rPr>
          <w:rFonts w:eastAsia="Times New Roman"/>
          <w:b/>
          <w:bCs/>
          <w:color w:val="000000" w:themeColor="text1"/>
          <w:lang w:eastAsia="en-GB"/>
        </w:rPr>
        <w:t>.</w:t>
      </w:r>
      <w:r w:rsidR="58B0FA09" w:rsidRPr="66A1DF9F">
        <w:rPr>
          <w:rFonts w:eastAsia="Times New Roman"/>
          <w:b/>
          <w:bCs/>
          <w:color w:val="000000" w:themeColor="text1"/>
          <w:lang w:eastAsia="en-GB"/>
        </w:rPr>
        <w:t xml:space="preserve"> </w:t>
      </w:r>
      <w:r w:rsidR="0465854E" w:rsidRPr="66A1DF9F">
        <w:rPr>
          <w:rFonts w:eastAsia="Times New Roman"/>
          <w:b/>
          <w:bCs/>
          <w:color w:val="000000" w:themeColor="text1"/>
          <w:lang w:eastAsia="en-GB"/>
        </w:rPr>
        <w:t>SDG Targets</w:t>
      </w:r>
      <w:r w:rsidR="62FA9907" w:rsidRPr="66A1DF9F">
        <w:rPr>
          <w:rFonts w:eastAsia="Times New Roman"/>
          <w:b/>
          <w:bCs/>
          <w:color w:val="000000" w:themeColor="text1"/>
          <w:lang w:eastAsia="en-GB"/>
        </w:rPr>
        <w:t xml:space="preserve"> </w:t>
      </w:r>
      <w:r w:rsidR="42665531" w:rsidRPr="66A1DF9F">
        <w:rPr>
          <w:rFonts w:eastAsia="Times New Roman"/>
          <w:b/>
          <w:bCs/>
          <w:color w:val="000000" w:themeColor="text1"/>
          <w:lang w:eastAsia="en-GB"/>
        </w:rPr>
        <w:t xml:space="preserve">directly </w:t>
      </w:r>
      <w:r w:rsidR="62FA9907" w:rsidRPr="66A1DF9F">
        <w:rPr>
          <w:rFonts w:eastAsia="Times New Roman"/>
          <w:b/>
          <w:bCs/>
          <w:color w:val="000000" w:themeColor="text1"/>
          <w:lang w:eastAsia="en-GB"/>
        </w:rPr>
        <w:t>addressed by the Joint Programme</w:t>
      </w:r>
    </w:p>
    <w:p w14:paraId="59F13D89" w14:textId="77777777" w:rsidR="00600C91" w:rsidRPr="00CD3D9C" w:rsidRDefault="00600C91" w:rsidP="001134F6">
      <w:pPr>
        <w:rPr>
          <w:rFonts w:eastAsia="Times New Roman"/>
          <w:b/>
          <w:color w:val="2F5496" w:themeColor="accent1" w:themeShade="BF"/>
          <w:szCs w:val="20"/>
          <w:lang w:eastAsia="en-GB"/>
        </w:rPr>
      </w:pPr>
    </w:p>
    <w:p w14:paraId="0B9AD5BC" w14:textId="63CB8E2C" w:rsidR="007C07C7" w:rsidRPr="000822C2" w:rsidRDefault="00AA2A3C" w:rsidP="000822C2">
      <w:pPr>
        <w:ind w:left="720" w:hanging="720"/>
        <w:rPr>
          <w:rFonts w:eastAsia="Times New Roman"/>
          <w:i/>
          <w:iCs/>
          <w:color w:val="C45911" w:themeColor="accent2" w:themeShade="BF"/>
          <w:szCs w:val="20"/>
          <w:lang w:eastAsia="en-GB"/>
        </w:rPr>
      </w:pPr>
      <w:r w:rsidRPr="00CD3D9C">
        <w:rPr>
          <w:color w:val="000000" w:themeColor="text1"/>
          <w:szCs w:val="20"/>
          <w:lang w:eastAsia="en-GB"/>
        </w:rPr>
        <w:tab/>
        <w:t xml:space="preserve">3.1 List of </w:t>
      </w:r>
      <w:r w:rsidR="00E15FAD" w:rsidRPr="00CD3D9C">
        <w:rPr>
          <w:color w:val="000000" w:themeColor="text1"/>
          <w:szCs w:val="20"/>
          <w:lang w:eastAsia="en-GB"/>
        </w:rPr>
        <w:t xml:space="preserve">goals and </w:t>
      </w:r>
      <w:r w:rsidRPr="00CD3D9C">
        <w:rPr>
          <w:color w:val="000000" w:themeColor="text1"/>
          <w:szCs w:val="20"/>
          <w:lang w:eastAsia="en-GB"/>
        </w:rPr>
        <w:t xml:space="preserve">targets </w:t>
      </w:r>
    </w:p>
    <w:p w14:paraId="0F39308F" w14:textId="77777777" w:rsidR="00B60121" w:rsidRDefault="00B60121" w:rsidP="00CB37C1">
      <w:pPr>
        <w:ind w:left="720" w:hanging="720"/>
        <w:rPr>
          <w:color w:val="000000" w:themeColor="text1"/>
          <w:szCs w:val="20"/>
          <w:lang w:eastAsia="en-GB"/>
        </w:rPr>
      </w:pPr>
    </w:p>
    <w:p w14:paraId="2BF3F106" w14:textId="1F99FC44" w:rsidR="00CB37C1" w:rsidRDefault="007C07C7" w:rsidP="00B217EF">
      <w:pPr>
        <w:rPr>
          <w:color w:val="000000" w:themeColor="text1"/>
          <w:szCs w:val="20"/>
          <w:lang w:eastAsia="en-GB"/>
        </w:rPr>
      </w:pPr>
      <w:r w:rsidRPr="007C07C7">
        <w:rPr>
          <w:color w:val="000000" w:themeColor="text1"/>
          <w:szCs w:val="20"/>
          <w:lang w:eastAsia="en-GB"/>
        </w:rPr>
        <w:t>SDG</w:t>
      </w:r>
      <w:r w:rsidR="00A81240">
        <w:rPr>
          <w:color w:val="000000" w:themeColor="text1"/>
          <w:szCs w:val="20"/>
          <w:lang w:eastAsia="en-GB"/>
        </w:rPr>
        <w:t xml:space="preserve"> </w:t>
      </w:r>
      <w:r w:rsidRPr="007C07C7">
        <w:rPr>
          <w:color w:val="000000" w:themeColor="text1"/>
          <w:szCs w:val="20"/>
          <w:lang w:eastAsia="en-GB"/>
        </w:rPr>
        <w:t>1</w:t>
      </w:r>
      <w:r w:rsidR="00CB37C1">
        <w:rPr>
          <w:color w:val="000000" w:themeColor="text1"/>
          <w:szCs w:val="20"/>
          <w:lang w:eastAsia="en-GB"/>
        </w:rPr>
        <w:t xml:space="preserve"> </w:t>
      </w:r>
      <w:r w:rsidR="00CB37C1" w:rsidRPr="00CB37C1">
        <w:rPr>
          <w:color w:val="000000" w:themeColor="text1"/>
          <w:szCs w:val="20"/>
          <w:lang w:eastAsia="en-GB"/>
        </w:rPr>
        <w:t>(</w:t>
      </w:r>
      <w:r w:rsidR="00E7177F">
        <w:rPr>
          <w:color w:val="000000" w:themeColor="text1"/>
          <w:szCs w:val="20"/>
          <w:lang w:eastAsia="en-GB"/>
        </w:rPr>
        <w:t>N</w:t>
      </w:r>
      <w:r w:rsidR="00CB37C1" w:rsidRPr="00CB37C1">
        <w:rPr>
          <w:color w:val="000000" w:themeColor="text1"/>
          <w:szCs w:val="20"/>
          <w:lang w:eastAsia="en-GB"/>
        </w:rPr>
        <w:t xml:space="preserve">o </w:t>
      </w:r>
      <w:r w:rsidR="00E7177F">
        <w:rPr>
          <w:color w:val="000000" w:themeColor="text1"/>
          <w:szCs w:val="20"/>
          <w:lang w:eastAsia="en-GB"/>
        </w:rPr>
        <w:t>P</w:t>
      </w:r>
      <w:r w:rsidR="00CB37C1" w:rsidRPr="00CB37C1">
        <w:rPr>
          <w:color w:val="000000" w:themeColor="text1"/>
          <w:szCs w:val="20"/>
          <w:lang w:eastAsia="en-GB"/>
        </w:rPr>
        <w:t>overty)</w:t>
      </w:r>
      <w:r w:rsidR="00E7177F">
        <w:rPr>
          <w:color w:val="000000" w:themeColor="text1"/>
          <w:szCs w:val="20"/>
          <w:lang w:eastAsia="en-GB"/>
        </w:rPr>
        <w:t xml:space="preserve"> </w:t>
      </w:r>
      <w:r w:rsidRPr="007C07C7">
        <w:rPr>
          <w:color w:val="000000" w:themeColor="text1"/>
          <w:szCs w:val="20"/>
          <w:lang w:eastAsia="en-GB"/>
        </w:rPr>
        <w:t xml:space="preserve">Target 1.b </w:t>
      </w:r>
      <w:r w:rsidR="00753CF2" w:rsidRPr="00753CF2">
        <w:rPr>
          <w:color w:val="000000" w:themeColor="text1"/>
          <w:szCs w:val="20"/>
          <w:lang w:eastAsia="en-GB"/>
        </w:rPr>
        <w:t>Create sound policy frameworks at the national, regional and</w:t>
      </w:r>
      <w:r w:rsidR="00B217EF">
        <w:rPr>
          <w:color w:val="000000" w:themeColor="text1"/>
          <w:szCs w:val="20"/>
          <w:lang w:eastAsia="en-GB"/>
        </w:rPr>
        <w:t xml:space="preserve"> </w:t>
      </w:r>
      <w:r w:rsidR="00753CF2" w:rsidRPr="00753CF2">
        <w:rPr>
          <w:color w:val="000000" w:themeColor="text1"/>
          <w:szCs w:val="20"/>
          <w:lang w:eastAsia="en-GB"/>
        </w:rPr>
        <w:t>international levels, based</w:t>
      </w:r>
      <w:r w:rsidR="00B217EF">
        <w:rPr>
          <w:color w:val="000000" w:themeColor="text1"/>
          <w:szCs w:val="20"/>
          <w:lang w:eastAsia="en-GB"/>
        </w:rPr>
        <w:t xml:space="preserve"> </w:t>
      </w:r>
      <w:r w:rsidR="00753CF2" w:rsidRPr="00753CF2">
        <w:rPr>
          <w:color w:val="000000" w:themeColor="text1"/>
          <w:szCs w:val="20"/>
          <w:lang w:eastAsia="en-GB"/>
        </w:rPr>
        <w:t>on pro-poor and gender-sensitive development strategies, to support accelerated</w:t>
      </w:r>
      <w:r w:rsidR="00B217EF">
        <w:rPr>
          <w:color w:val="000000" w:themeColor="text1"/>
          <w:szCs w:val="20"/>
          <w:lang w:eastAsia="en-GB"/>
        </w:rPr>
        <w:t xml:space="preserve"> </w:t>
      </w:r>
      <w:r w:rsidR="00753CF2" w:rsidRPr="00753CF2">
        <w:rPr>
          <w:color w:val="000000" w:themeColor="text1"/>
          <w:szCs w:val="20"/>
          <w:lang w:eastAsia="en-GB"/>
        </w:rPr>
        <w:t>investment in poverty eradication actions</w:t>
      </w:r>
    </w:p>
    <w:p w14:paraId="4E064112" w14:textId="08AB3A9B" w:rsidR="007C07C7" w:rsidRPr="007C07C7" w:rsidRDefault="007C07C7" w:rsidP="007C07C7">
      <w:pPr>
        <w:ind w:left="720" w:hanging="720"/>
        <w:rPr>
          <w:color w:val="000000" w:themeColor="text1"/>
          <w:szCs w:val="20"/>
          <w:lang w:eastAsia="en-GB"/>
        </w:rPr>
      </w:pPr>
      <w:r w:rsidRPr="007C07C7">
        <w:rPr>
          <w:color w:val="000000" w:themeColor="text1"/>
          <w:szCs w:val="20"/>
          <w:lang w:eastAsia="en-GB"/>
        </w:rPr>
        <w:t xml:space="preserve"> </w:t>
      </w:r>
    </w:p>
    <w:p w14:paraId="7A8761C7" w14:textId="227ACEA4" w:rsidR="00977C37" w:rsidRDefault="007C07C7" w:rsidP="007C07C7">
      <w:pPr>
        <w:ind w:left="720" w:hanging="720"/>
        <w:rPr>
          <w:color w:val="000000" w:themeColor="text1"/>
          <w:szCs w:val="20"/>
          <w:lang w:eastAsia="en-GB"/>
        </w:rPr>
      </w:pPr>
      <w:r w:rsidRPr="007C07C7">
        <w:rPr>
          <w:color w:val="000000" w:themeColor="text1"/>
          <w:szCs w:val="20"/>
          <w:lang w:eastAsia="en-GB"/>
        </w:rPr>
        <w:t>SDG 3</w:t>
      </w:r>
      <w:r w:rsidR="00E7177F">
        <w:rPr>
          <w:color w:val="000000" w:themeColor="text1"/>
          <w:szCs w:val="20"/>
          <w:lang w:eastAsia="en-GB"/>
        </w:rPr>
        <w:t xml:space="preserve"> (Good Health and Well-being) </w:t>
      </w:r>
      <w:r w:rsidRPr="007C07C7">
        <w:rPr>
          <w:color w:val="000000" w:themeColor="text1"/>
          <w:szCs w:val="20"/>
          <w:lang w:eastAsia="en-GB"/>
        </w:rPr>
        <w:t xml:space="preserve">Target </w:t>
      </w:r>
    </w:p>
    <w:p w14:paraId="495A2AFC" w14:textId="77777777" w:rsidR="00977C37" w:rsidRDefault="007C07C7" w:rsidP="007C07C7">
      <w:pPr>
        <w:ind w:left="720" w:hanging="720"/>
        <w:rPr>
          <w:color w:val="000000" w:themeColor="text1"/>
          <w:szCs w:val="20"/>
          <w:lang w:eastAsia="en-GB"/>
        </w:rPr>
      </w:pPr>
      <w:r w:rsidRPr="007C07C7">
        <w:rPr>
          <w:color w:val="000000" w:themeColor="text1"/>
          <w:szCs w:val="20"/>
          <w:lang w:eastAsia="en-GB"/>
        </w:rPr>
        <w:t>3.8 Achieve universal health coverage, including financial risk protection, access to quality</w:t>
      </w:r>
      <w:r w:rsidR="00977C37">
        <w:rPr>
          <w:color w:val="000000" w:themeColor="text1"/>
          <w:szCs w:val="20"/>
          <w:lang w:eastAsia="en-GB"/>
        </w:rPr>
        <w:t xml:space="preserve"> </w:t>
      </w:r>
    </w:p>
    <w:p w14:paraId="1BAA0277" w14:textId="3C10B5A0" w:rsidR="00977C37" w:rsidRDefault="007C07C7" w:rsidP="00977C37">
      <w:pPr>
        <w:rPr>
          <w:color w:val="000000" w:themeColor="text1"/>
          <w:szCs w:val="20"/>
          <w:lang w:eastAsia="en-GB"/>
        </w:rPr>
      </w:pPr>
      <w:r w:rsidRPr="007C07C7">
        <w:rPr>
          <w:color w:val="000000" w:themeColor="text1"/>
          <w:szCs w:val="20"/>
          <w:lang w:eastAsia="en-GB"/>
        </w:rPr>
        <w:t>essential health-care services and access to safe, effective, quality and affordable essential</w:t>
      </w:r>
    </w:p>
    <w:p w14:paraId="60FB3D15" w14:textId="7D114C53" w:rsidR="007C07C7" w:rsidRPr="007C07C7" w:rsidRDefault="007C07C7" w:rsidP="007C07C7">
      <w:pPr>
        <w:ind w:left="720" w:hanging="720"/>
        <w:rPr>
          <w:color w:val="000000" w:themeColor="text1"/>
          <w:szCs w:val="20"/>
          <w:lang w:eastAsia="en-GB"/>
        </w:rPr>
      </w:pPr>
      <w:r w:rsidRPr="007C07C7">
        <w:rPr>
          <w:color w:val="000000" w:themeColor="text1"/>
          <w:szCs w:val="20"/>
          <w:lang w:eastAsia="en-GB"/>
        </w:rPr>
        <w:t>medicines and vaccines for all</w:t>
      </w:r>
    </w:p>
    <w:p w14:paraId="7A5E457C" w14:textId="77777777" w:rsidR="00977C37" w:rsidRDefault="00977C37" w:rsidP="007C07C7">
      <w:pPr>
        <w:ind w:left="720" w:hanging="720"/>
        <w:rPr>
          <w:color w:val="000000" w:themeColor="text1"/>
          <w:szCs w:val="20"/>
          <w:lang w:eastAsia="en-GB"/>
        </w:rPr>
      </w:pPr>
    </w:p>
    <w:p w14:paraId="1824647E" w14:textId="77777777" w:rsidR="00977C37" w:rsidRDefault="301CFBC6" w:rsidP="66A1DF9F">
      <w:pPr>
        <w:ind w:left="720" w:hanging="720"/>
        <w:rPr>
          <w:color w:val="000000" w:themeColor="text1"/>
          <w:lang w:eastAsia="en-GB"/>
        </w:rPr>
      </w:pPr>
      <w:r w:rsidRPr="66A1DF9F">
        <w:rPr>
          <w:color w:val="000000" w:themeColor="text1"/>
          <w:lang w:eastAsia="en-GB"/>
        </w:rPr>
        <w:t>3.c Substantially increase health financing and the recruitment, development, training and</w:t>
      </w:r>
    </w:p>
    <w:p w14:paraId="6840BA97" w14:textId="77777777" w:rsidR="00977C37" w:rsidRDefault="007C07C7" w:rsidP="007C07C7">
      <w:pPr>
        <w:ind w:left="720" w:hanging="720"/>
        <w:rPr>
          <w:color w:val="000000" w:themeColor="text1"/>
          <w:szCs w:val="20"/>
          <w:lang w:eastAsia="en-GB"/>
        </w:rPr>
      </w:pPr>
      <w:r w:rsidRPr="007C07C7">
        <w:rPr>
          <w:color w:val="000000" w:themeColor="text1"/>
          <w:szCs w:val="20"/>
          <w:lang w:eastAsia="en-GB"/>
        </w:rPr>
        <w:t>retention of the health workforce in developing countries, especially in least developed</w:t>
      </w:r>
    </w:p>
    <w:p w14:paraId="21633DE6" w14:textId="2A16431E" w:rsidR="007C07C7" w:rsidRDefault="007C07C7" w:rsidP="007C07C7">
      <w:pPr>
        <w:ind w:left="720" w:hanging="720"/>
        <w:rPr>
          <w:color w:val="000000" w:themeColor="text1"/>
          <w:szCs w:val="20"/>
          <w:lang w:eastAsia="en-GB"/>
        </w:rPr>
      </w:pPr>
      <w:r w:rsidRPr="007C07C7">
        <w:rPr>
          <w:color w:val="000000" w:themeColor="text1"/>
          <w:szCs w:val="20"/>
          <w:lang w:eastAsia="en-GB"/>
        </w:rPr>
        <w:t xml:space="preserve">countries and small island developing States. </w:t>
      </w:r>
    </w:p>
    <w:p w14:paraId="33198DF2" w14:textId="77777777" w:rsidR="00977C37" w:rsidRPr="007C07C7" w:rsidRDefault="00977C37" w:rsidP="007C07C7">
      <w:pPr>
        <w:ind w:left="720" w:hanging="720"/>
        <w:rPr>
          <w:color w:val="000000" w:themeColor="text1"/>
          <w:szCs w:val="20"/>
          <w:lang w:eastAsia="en-GB"/>
        </w:rPr>
      </w:pPr>
    </w:p>
    <w:p w14:paraId="74B48494" w14:textId="016F7C7E" w:rsidR="00977C37" w:rsidRDefault="007C07C7" w:rsidP="007C07C7">
      <w:pPr>
        <w:ind w:left="720" w:hanging="720"/>
        <w:rPr>
          <w:color w:val="000000" w:themeColor="text1"/>
          <w:szCs w:val="20"/>
          <w:lang w:eastAsia="en-GB"/>
        </w:rPr>
      </w:pPr>
      <w:r w:rsidRPr="007C07C7">
        <w:rPr>
          <w:color w:val="000000" w:themeColor="text1"/>
          <w:szCs w:val="20"/>
          <w:lang w:eastAsia="en-GB"/>
        </w:rPr>
        <w:t>SDG 5</w:t>
      </w:r>
      <w:r w:rsidR="005B1825">
        <w:rPr>
          <w:color w:val="000000" w:themeColor="text1"/>
          <w:szCs w:val="20"/>
          <w:lang w:eastAsia="en-GB"/>
        </w:rPr>
        <w:t xml:space="preserve"> (Gender Equality)</w:t>
      </w:r>
      <w:r w:rsidR="005B1825" w:rsidRPr="007C07C7">
        <w:rPr>
          <w:color w:val="000000" w:themeColor="text1"/>
          <w:szCs w:val="20"/>
          <w:lang w:eastAsia="en-GB"/>
        </w:rPr>
        <w:t xml:space="preserve"> Target</w:t>
      </w:r>
      <w:r w:rsidRPr="007C07C7">
        <w:rPr>
          <w:color w:val="000000" w:themeColor="text1"/>
          <w:szCs w:val="20"/>
          <w:lang w:eastAsia="en-GB"/>
        </w:rPr>
        <w:t xml:space="preserve"> </w:t>
      </w:r>
    </w:p>
    <w:p w14:paraId="491047D3" w14:textId="7DD81E17" w:rsidR="00977C37" w:rsidRDefault="007C07C7" w:rsidP="007C07C7">
      <w:pPr>
        <w:ind w:left="720" w:hanging="720"/>
        <w:rPr>
          <w:color w:val="000000" w:themeColor="text1"/>
          <w:szCs w:val="20"/>
          <w:lang w:eastAsia="en-GB"/>
        </w:rPr>
      </w:pPr>
      <w:r w:rsidRPr="007C07C7">
        <w:rPr>
          <w:color w:val="000000" w:themeColor="text1"/>
          <w:szCs w:val="20"/>
          <w:lang w:eastAsia="en-GB"/>
        </w:rPr>
        <w:t>5</w:t>
      </w:r>
      <w:r w:rsidR="00A81240">
        <w:rPr>
          <w:color w:val="000000" w:themeColor="text1"/>
          <w:szCs w:val="20"/>
          <w:lang w:eastAsia="en-GB"/>
        </w:rPr>
        <w:t>.</w:t>
      </w:r>
      <w:r w:rsidRPr="007C07C7">
        <w:rPr>
          <w:color w:val="000000" w:themeColor="text1"/>
          <w:szCs w:val="20"/>
          <w:lang w:eastAsia="en-GB"/>
        </w:rPr>
        <w:t>c Adopt and strengthen sound policies and enforceable legislation for the promotion of</w:t>
      </w:r>
    </w:p>
    <w:p w14:paraId="774A7046" w14:textId="0ECC2767" w:rsidR="007C07C7" w:rsidRPr="007C07C7" w:rsidRDefault="007C07C7" w:rsidP="007C07C7">
      <w:pPr>
        <w:ind w:left="720" w:hanging="720"/>
        <w:rPr>
          <w:color w:val="000000" w:themeColor="text1"/>
          <w:szCs w:val="20"/>
          <w:lang w:eastAsia="en-GB"/>
        </w:rPr>
      </w:pPr>
      <w:r w:rsidRPr="007C07C7">
        <w:rPr>
          <w:color w:val="000000" w:themeColor="text1"/>
          <w:szCs w:val="20"/>
          <w:lang w:eastAsia="en-GB"/>
        </w:rPr>
        <w:t>gender equality and empowerment of women and girls at all levels</w:t>
      </w:r>
    </w:p>
    <w:p w14:paraId="6FB74587" w14:textId="77777777" w:rsidR="00977C37" w:rsidRDefault="00977C37" w:rsidP="007C07C7">
      <w:pPr>
        <w:ind w:left="720" w:hanging="720"/>
        <w:rPr>
          <w:color w:val="000000" w:themeColor="text1"/>
          <w:szCs w:val="20"/>
          <w:lang w:eastAsia="en-GB"/>
        </w:rPr>
      </w:pPr>
    </w:p>
    <w:p w14:paraId="6436E4D7" w14:textId="65E23812" w:rsidR="00977C37" w:rsidRDefault="007C07C7" w:rsidP="007C07C7">
      <w:pPr>
        <w:ind w:left="720" w:hanging="720"/>
        <w:rPr>
          <w:color w:val="000000" w:themeColor="text1"/>
          <w:szCs w:val="20"/>
          <w:lang w:eastAsia="en-GB"/>
        </w:rPr>
      </w:pPr>
      <w:r w:rsidRPr="007C07C7">
        <w:rPr>
          <w:color w:val="000000" w:themeColor="text1"/>
          <w:szCs w:val="20"/>
          <w:lang w:eastAsia="en-GB"/>
        </w:rPr>
        <w:t>SDG 7</w:t>
      </w:r>
      <w:r w:rsidR="005B1825">
        <w:rPr>
          <w:color w:val="000000" w:themeColor="text1"/>
          <w:szCs w:val="20"/>
          <w:lang w:eastAsia="en-GB"/>
        </w:rPr>
        <w:t xml:space="preserve"> (Clean Water and Sanitation) </w:t>
      </w:r>
      <w:r w:rsidRPr="007C07C7">
        <w:rPr>
          <w:color w:val="000000" w:themeColor="text1"/>
          <w:szCs w:val="20"/>
          <w:lang w:eastAsia="en-GB"/>
        </w:rPr>
        <w:t xml:space="preserve">Target </w:t>
      </w:r>
    </w:p>
    <w:p w14:paraId="1EE46003" w14:textId="28F5F276" w:rsidR="007C07C7" w:rsidRPr="007C07C7" w:rsidRDefault="007C07C7" w:rsidP="007C07C7">
      <w:pPr>
        <w:ind w:left="720" w:hanging="720"/>
        <w:rPr>
          <w:color w:val="000000" w:themeColor="text1"/>
          <w:szCs w:val="20"/>
          <w:lang w:eastAsia="en-GB"/>
        </w:rPr>
      </w:pPr>
      <w:r w:rsidRPr="007C07C7">
        <w:rPr>
          <w:color w:val="000000" w:themeColor="text1"/>
          <w:szCs w:val="20"/>
          <w:lang w:eastAsia="en-GB"/>
        </w:rPr>
        <w:t xml:space="preserve">7.2 By 2030, increase substantially the share of renewable energy in the global energy mix. </w:t>
      </w:r>
    </w:p>
    <w:p w14:paraId="75B5DF08" w14:textId="77777777" w:rsidR="00977C37" w:rsidRPr="007C07C7" w:rsidRDefault="00977C37" w:rsidP="0045255A">
      <w:pPr>
        <w:rPr>
          <w:color w:val="000000" w:themeColor="text1"/>
          <w:szCs w:val="20"/>
          <w:lang w:eastAsia="en-GB"/>
        </w:rPr>
      </w:pPr>
    </w:p>
    <w:p w14:paraId="192730CB" w14:textId="39FF6B71" w:rsidR="00977C37" w:rsidRDefault="007C07C7" w:rsidP="007C07C7">
      <w:pPr>
        <w:ind w:left="720" w:hanging="720"/>
        <w:rPr>
          <w:color w:val="000000" w:themeColor="text1"/>
          <w:szCs w:val="20"/>
          <w:lang w:eastAsia="en-GB"/>
        </w:rPr>
      </w:pPr>
      <w:r w:rsidRPr="007C07C7">
        <w:rPr>
          <w:color w:val="000000" w:themeColor="text1"/>
          <w:szCs w:val="20"/>
          <w:lang w:eastAsia="en-GB"/>
        </w:rPr>
        <w:t>SDG 9</w:t>
      </w:r>
      <w:r w:rsidR="000822C2">
        <w:rPr>
          <w:color w:val="000000" w:themeColor="text1"/>
          <w:szCs w:val="20"/>
          <w:lang w:eastAsia="en-GB"/>
        </w:rPr>
        <w:t xml:space="preserve"> (Industry, Innovation and Infrastructure) </w:t>
      </w:r>
      <w:r w:rsidRPr="007C07C7">
        <w:rPr>
          <w:color w:val="000000" w:themeColor="text1"/>
          <w:szCs w:val="20"/>
          <w:lang w:eastAsia="en-GB"/>
        </w:rPr>
        <w:t xml:space="preserve">Target </w:t>
      </w:r>
    </w:p>
    <w:p w14:paraId="340E5C9D" w14:textId="77777777" w:rsidR="00977C37" w:rsidRDefault="007C07C7" w:rsidP="007C07C7">
      <w:pPr>
        <w:ind w:left="720" w:hanging="720"/>
        <w:rPr>
          <w:color w:val="000000" w:themeColor="text1"/>
          <w:szCs w:val="20"/>
          <w:lang w:eastAsia="en-GB"/>
        </w:rPr>
      </w:pPr>
      <w:r w:rsidRPr="007C07C7">
        <w:rPr>
          <w:color w:val="000000" w:themeColor="text1"/>
          <w:szCs w:val="20"/>
          <w:lang w:eastAsia="en-GB"/>
        </w:rPr>
        <w:t>9.a Facilitate sustainable and resilient infrastructure development in developing countries</w:t>
      </w:r>
    </w:p>
    <w:p w14:paraId="0F374FA6" w14:textId="77777777" w:rsidR="00977C37" w:rsidRDefault="007C07C7" w:rsidP="007C07C7">
      <w:pPr>
        <w:ind w:left="720" w:hanging="720"/>
        <w:rPr>
          <w:color w:val="000000" w:themeColor="text1"/>
          <w:szCs w:val="20"/>
          <w:lang w:eastAsia="en-GB"/>
        </w:rPr>
      </w:pPr>
      <w:r w:rsidRPr="007C07C7">
        <w:rPr>
          <w:color w:val="000000" w:themeColor="text1"/>
          <w:szCs w:val="20"/>
          <w:lang w:eastAsia="en-GB"/>
        </w:rPr>
        <w:t>through enhanced financial, technological and technical support to African countries, least</w:t>
      </w:r>
    </w:p>
    <w:p w14:paraId="61F8951A" w14:textId="57F744FB" w:rsidR="007C07C7" w:rsidRPr="007C07C7" w:rsidRDefault="007C07C7" w:rsidP="007C07C7">
      <w:pPr>
        <w:ind w:left="720" w:hanging="720"/>
        <w:rPr>
          <w:color w:val="000000" w:themeColor="text1"/>
          <w:szCs w:val="20"/>
          <w:lang w:eastAsia="en-GB"/>
        </w:rPr>
      </w:pPr>
      <w:r w:rsidRPr="007C07C7">
        <w:rPr>
          <w:color w:val="000000" w:themeColor="text1"/>
          <w:szCs w:val="20"/>
          <w:lang w:eastAsia="en-GB"/>
        </w:rPr>
        <w:t xml:space="preserve">developed countries, landlocked developing countries and small island developing States. </w:t>
      </w:r>
    </w:p>
    <w:p w14:paraId="56DADA87" w14:textId="77777777" w:rsidR="00977C37" w:rsidRDefault="00977C37" w:rsidP="007C07C7">
      <w:pPr>
        <w:ind w:left="720" w:hanging="720"/>
        <w:rPr>
          <w:color w:val="000000" w:themeColor="text1"/>
          <w:szCs w:val="20"/>
          <w:lang w:eastAsia="en-GB"/>
        </w:rPr>
      </w:pPr>
    </w:p>
    <w:p w14:paraId="3D334613" w14:textId="77777777" w:rsidR="00157FC3" w:rsidRDefault="007C07C7" w:rsidP="007C07C7">
      <w:pPr>
        <w:ind w:left="720" w:hanging="720"/>
        <w:rPr>
          <w:color w:val="000000" w:themeColor="text1"/>
          <w:szCs w:val="20"/>
          <w:lang w:eastAsia="en-GB"/>
        </w:rPr>
      </w:pPr>
      <w:r w:rsidRPr="007C07C7">
        <w:rPr>
          <w:color w:val="000000" w:themeColor="text1"/>
          <w:szCs w:val="20"/>
          <w:lang w:eastAsia="en-GB"/>
        </w:rPr>
        <w:t>SDG 10</w:t>
      </w:r>
      <w:r w:rsidR="00977C37">
        <w:rPr>
          <w:color w:val="000000" w:themeColor="text1"/>
          <w:szCs w:val="20"/>
          <w:lang w:eastAsia="en-GB"/>
        </w:rPr>
        <w:t xml:space="preserve"> </w:t>
      </w:r>
      <w:r w:rsidR="00855560">
        <w:rPr>
          <w:color w:val="000000" w:themeColor="text1"/>
          <w:szCs w:val="20"/>
          <w:lang w:eastAsia="en-GB"/>
        </w:rPr>
        <w:t>(Reduced Inequalities)</w:t>
      </w:r>
      <w:r w:rsidR="00855560" w:rsidRPr="007C07C7">
        <w:rPr>
          <w:color w:val="000000" w:themeColor="text1"/>
          <w:szCs w:val="20"/>
          <w:lang w:eastAsia="en-GB"/>
        </w:rPr>
        <w:t xml:space="preserve"> </w:t>
      </w:r>
    </w:p>
    <w:p w14:paraId="73CC9351" w14:textId="055EB675" w:rsidR="00BD6F8C" w:rsidRDefault="08196F20" w:rsidP="66A1DF9F">
      <w:pPr>
        <w:rPr>
          <w:color w:val="000000" w:themeColor="text1"/>
          <w:lang w:eastAsia="en-GB"/>
        </w:rPr>
      </w:pPr>
      <w:r w:rsidRPr="66A1DF9F">
        <w:rPr>
          <w:color w:val="000000" w:themeColor="text1"/>
          <w:lang w:eastAsia="en-GB"/>
        </w:rPr>
        <w:lastRenderedPageBreak/>
        <w:t>Target</w:t>
      </w:r>
      <w:r w:rsidR="301CFBC6" w:rsidRPr="66A1DF9F">
        <w:rPr>
          <w:color w:val="000000" w:themeColor="text1"/>
          <w:lang w:eastAsia="en-GB"/>
        </w:rPr>
        <w:t xml:space="preserve"> 10.b Encourage official development assistance and financial flows, including foreign</w:t>
      </w:r>
      <w:r w:rsidR="261796EB" w:rsidRPr="66A1DF9F">
        <w:rPr>
          <w:color w:val="000000" w:themeColor="text1"/>
          <w:lang w:eastAsia="en-GB"/>
        </w:rPr>
        <w:t xml:space="preserve"> </w:t>
      </w:r>
      <w:r w:rsidR="301CFBC6" w:rsidRPr="66A1DF9F">
        <w:rPr>
          <w:color w:val="000000" w:themeColor="text1"/>
          <w:lang w:eastAsia="en-GB"/>
        </w:rPr>
        <w:t>direct</w:t>
      </w:r>
      <w:r w:rsidR="3F934646" w:rsidRPr="66A1DF9F">
        <w:rPr>
          <w:color w:val="000000" w:themeColor="text1"/>
          <w:lang w:eastAsia="en-GB"/>
        </w:rPr>
        <w:t xml:space="preserve"> </w:t>
      </w:r>
      <w:r w:rsidR="301CFBC6" w:rsidRPr="66A1DF9F">
        <w:rPr>
          <w:color w:val="000000" w:themeColor="text1"/>
          <w:lang w:eastAsia="en-GB"/>
        </w:rPr>
        <w:t>investment, to States where the need is greatest, in particular least developed countries,</w:t>
      </w:r>
      <w:r w:rsidR="3F934646" w:rsidRPr="66A1DF9F">
        <w:rPr>
          <w:color w:val="000000" w:themeColor="text1"/>
          <w:lang w:eastAsia="en-GB"/>
        </w:rPr>
        <w:t xml:space="preserve"> </w:t>
      </w:r>
      <w:r w:rsidR="301CFBC6" w:rsidRPr="66A1DF9F">
        <w:rPr>
          <w:color w:val="000000" w:themeColor="text1"/>
          <w:lang w:eastAsia="en-GB"/>
        </w:rPr>
        <w:t>African countries, small island developing States and landlocked developing countries, in</w:t>
      </w:r>
      <w:r w:rsidR="3F934646" w:rsidRPr="66A1DF9F">
        <w:rPr>
          <w:color w:val="000000" w:themeColor="text1"/>
          <w:lang w:eastAsia="en-GB"/>
        </w:rPr>
        <w:t xml:space="preserve"> </w:t>
      </w:r>
      <w:r w:rsidR="301CFBC6" w:rsidRPr="66A1DF9F">
        <w:rPr>
          <w:color w:val="000000" w:themeColor="text1"/>
          <w:lang w:eastAsia="en-GB"/>
        </w:rPr>
        <w:t>accordance with their national plans and programmes. Total resource flows fo</w:t>
      </w:r>
      <w:r w:rsidR="3F934646" w:rsidRPr="66A1DF9F">
        <w:rPr>
          <w:color w:val="000000" w:themeColor="text1"/>
          <w:lang w:eastAsia="en-GB"/>
        </w:rPr>
        <w:t xml:space="preserve">r </w:t>
      </w:r>
      <w:r w:rsidR="301CFBC6" w:rsidRPr="66A1DF9F">
        <w:rPr>
          <w:color w:val="000000" w:themeColor="text1"/>
          <w:lang w:eastAsia="en-GB"/>
        </w:rPr>
        <w:t>development, by recipient and donor countries and type of flow (e.g. official development</w:t>
      </w:r>
      <w:r w:rsidR="3F934646" w:rsidRPr="66A1DF9F">
        <w:rPr>
          <w:color w:val="000000" w:themeColor="text1"/>
          <w:lang w:eastAsia="en-GB"/>
        </w:rPr>
        <w:t xml:space="preserve"> </w:t>
      </w:r>
      <w:r w:rsidR="301CFBC6" w:rsidRPr="66A1DF9F">
        <w:rPr>
          <w:color w:val="000000" w:themeColor="text1"/>
          <w:lang w:eastAsia="en-GB"/>
        </w:rPr>
        <w:t>assistance, foreign direct investment and other flows)</w:t>
      </w:r>
      <w:r w:rsidR="00855560">
        <w:tab/>
      </w:r>
    </w:p>
    <w:p w14:paraId="187CE23C" w14:textId="314D0BDB" w:rsidR="007C07C7" w:rsidRPr="007C07C7" w:rsidRDefault="007C07C7" w:rsidP="007C07C7">
      <w:pPr>
        <w:ind w:left="720" w:hanging="720"/>
        <w:rPr>
          <w:color w:val="000000" w:themeColor="text1"/>
          <w:szCs w:val="20"/>
          <w:lang w:eastAsia="en-GB"/>
        </w:rPr>
      </w:pPr>
      <w:r w:rsidRPr="007C07C7">
        <w:rPr>
          <w:color w:val="000000" w:themeColor="text1"/>
          <w:szCs w:val="20"/>
          <w:lang w:eastAsia="en-GB"/>
        </w:rPr>
        <w:t xml:space="preserve"> </w:t>
      </w:r>
    </w:p>
    <w:p w14:paraId="22E82414" w14:textId="77777777" w:rsidR="00157FC3" w:rsidRDefault="007C07C7" w:rsidP="007C07C7">
      <w:pPr>
        <w:ind w:left="720" w:hanging="720"/>
        <w:rPr>
          <w:color w:val="000000" w:themeColor="text1"/>
          <w:szCs w:val="20"/>
          <w:lang w:eastAsia="en-GB"/>
        </w:rPr>
      </w:pPr>
      <w:r w:rsidRPr="007C07C7">
        <w:rPr>
          <w:color w:val="000000" w:themeColor="text1"/>
          <w:szCs w:val="20"/>
          <w:lang w:eastAsia="en-GB"/>
        </w:rPr>
        <w:t>SDG 13</w:t>
      </w:r>
      <w:r w:rsidR="00BE4219">
        <w:rPr>
          <w:color w:val="000000" w:themeColor="text1"/>
          <w:szCs w:val="20"/>
          <w:lang w:eastAsia="en-GB"/>
        </w:rPr>
        <w:t xml:space="preserve"> (Climate Action)</w:t>
      </w:r>
      <w:r w:rsidR="00855560">
        <w:rPr>
          <w:color w:val="000000" w:themeColor="text1"/>
          <w:szCs w:val="20"/>
          <w:lang w:eastAsia="en-GB"/>
        </w:rPr>
        <w:t xml:space="preserve"> </w:t>
      </w:r>
    </w:p>
    <w:p w14:paraId="09FFDED5" w14:textId="1E9CFF9E" w:rsidR="007C07C7" w:rsidRPr="007C07C7" w:rsidRDefault="00BD6F8C" w:rsidP="00E51916">
      <w:pPr>
        <w:rPr>
          <w:color w:val="000000" w:themeColor="text1"/>
          <w:szCs w:val="20"/>
          <w:lang w:eastAsia="en-GB"/>
        </w:rPr>
      </w:pPr>
      <w:r w:rsidRPr="007C07C7">
        <w:rPr>
          <w:color w:val="000000" w:themeColor="text1"/>
          <w:szCs w:val="20"/>
          <w:lang w:eastAsia="en-GB"/>
        </w:rPr>
        <w:t>Target</w:t>
      </w:r>
      <w:r w:rsidR="007C07C7" w:rsidRPr="007C07C7">
        <w:rPr>
          <w:color w:val="000000" w:themeColor="text1"/>
          <w:szCs w:val="20"/>
          <w:lang w:eastAsia="en-GB"/>
        </w:rPr>
        <w:tab/>
        <w:t>13.b</w:t>
      </w:r>
      <w:r>
        <w:rPr>
          <w:color w:val="000000" w:themeColor="text1"/>
          <w:szCs w:val="20"/>
          <w:lang w:eastAsia="en-GB"/>
        </w:rPr>
        <w:t xml:space="preserve"> </w:t>
      </w:r>
      <w:r w:rsidR="007C07C7" w:rsidRPr="007C07C7">
        <w:rPr>
          <w:color w:val="000000" w:themeColor="text1"/>
          <w:szCs w:val="20"/>
          <w:lang w:eastAsia="en-GB"/>
        </w:rPr>
        <w:t>Promote mechanisms for raising capacity for effective climate change-related</w:t>
      </w:r>
      <w:r w:rsidR="00E51916">
        <w:rPr>
          <w:color w:val="000000" w:themeColor="text1"/>
          <w:szCs w:val="20"/>
          <w:lang w:eastAsia="en-GB"/>
        </w:rPr>
        <w:t xml:space="preserve"> </w:t>
      </w:r>
      <w:r w:rsidR="007C07C7" w:rsidRPr="007C07C7">
        <w:rPr>
          <w:color w:val="000000" w:themeColor="text1"/>
          <w:szCs w:val="20"/>
          <w:lang w:eastAsia="en-GB"/>
        </w:rPr>
        <w:t>planning</w:t>
      </w:r>
      <w:r w:rsidR="00157FC3">
        <w:rPr>
          <w:color w:val="000000" w:themeColor="text1"/>
          <w:szCs w:val="20"/>
          <w:lang w:eastAsia="en-GB"/>
        </w:rPr>
        <w:t xml:space="preserve"> </w:t>
      </w:r>
      <w:r w:rsidR="007C07C7" w:rsidRPr="007C07C7">
        <w:rPr>
          <w:color w:val="000000" w:themeColor="text1"/>
          <w:szCs w:val="20"/>
          <w:lang w:eastAsia="en-GB"/>
        </w:rPr>
        <w:t>and management in least developed countries and small island developing States, including</w:t>
      </w:r>
      <w:r w:rsidR="00157FC3">
        <w:rPr>
          <w:color w:val="000000" w:themeColor="text1"/>
          <w:szCs w:val="20"/>
          <w:lang w:eastAsia="en-GB"/>
        </w:rPr>
        <w:t xml:space="preserve"> </w:t>
      </w:r>
      <w:r w:rsidR="007C07C7" w:rsidRPr="007C07C7">
        <w:rPr>
          <w:color w:val="000000" w:themeColor="text1"/>
          <w:szCs w:val="20"/>
          <w:lang w:eastAsia="en-GB"/>
        </w:rPr>
        <w:t>focusing on women, youth and local and marginalized communities</w:t>
      </w:r>
      <w:r w:rsidR="007C07C7" w:rsidRPr="007C07C7">
        <w:rPr>
          <w:color w:val="000000" w:themeColor="text1"/>
          <w:szCs w:val="20"/>
          <w:lang w:eastAsia="en-GB"/>
        </w:rPr>
        <w:tab/>
        <w:t xml:space="preserve"> </w:t>
      </w:r>
    </w:p>
    <w:p w14:paraId="2B1F3910" w14:textId="77777777" w:rsidR="00BD6F8C" w:rsidRDefault="00BD6F8C" w:rsidP="007C07C7">
      <w:pPr>
        <w:ind w:left="720" w:hanging="720"/>
        <w:rPr>
          <w:color w:val="000000" w:themeColor="text1"/>
          <w:szCs w:val="20"/>
          <w:lang w:eastAsia="en-GB"/>
        </w:rPr>
      </w:pPr>
    </w:p>
    <w:p w14:paraId="77D8767C" w14:textId="77777777" w:rsidR="00157FC3" w:rsidRDefault="007C07C7" w:rsidP="007C07C7">
      <w:pPr>
        <w:ind w:left="720" w:hanging="720"/>
        <w:rPr>
          <w:color w:val="000000" w:themeColor="text1"/>
          <w:szCs w:val="20"/>
          <w:lang w:eastAsia="en-GB"/>
        </w:rPr>
      </w:pPr>
      <w:r w:rsidRPr="007C07C7">
        <w:rPr>
          <w:color w:val="000000" w:themeColor="text1"/>
          <w:szCs w:val="20"/>
          <w:lang w:eastAsia="en-GB"/>
        </w:rPr>
        <w:t>SDG 15</w:t>
      </w:r>
      <w:r w:rsidR="00BE4219">
        <w:rPr>
          <w:color w:val="000000" w:themeColor="text1"/>
          <w:szCs w:val="20"/>
          <w:lang w:eastAsia="en-GB"/>
        </w:rPr>
        <w:t xml:space="preserve"> (Life on Land)</w:t>
      </w:r>
      <w:r w:rsidR="00BD6F8C">
        <w:rPr>
          <w:color w:val="000000" w:themeColor="text1"/>
          <w:szCs w:val="20"/>
          <w:lang w:eastAsia="en-GB"/>
        </w:rPr>
        <w:t xml:space="preserve"> </w:t>
      </w:r>
    </w:p>
    <w:p w14:paraId="38144C59" w14:textId="1F6EC08B" w:rsidR="007C07C7" w:rsidRPr="007C07C7" w:rsidRDefault="007C07C7" w:rsidP="00E51916">
      <w:pPr>
        <w:rPr>
          <w:color w:val="000000" w:themeColor="text1"/>
          <w:szCs w:val="20"/>
          <w:lang w:eastAsia="en-GB"/>
        </w:rPr>
      </w:pPr>
      <w:r w:rsidRPr="007C07C7">
        <w:rPr>
          <w:color w:val="000000" w:themeColor="text1"/>
          <w:szCs w:val="20"/>
          <w:lang w:eastAsia="en-GB"/>
        </w:rPr>
        <w:t>Target 15.a Mobilize and significantly increase financial resources from all sources to conserve and</w:t>
      </w:r>
      <w:r w:rsidR="00157FC3">
        <w:rPr>
          <w:color w:val="000000" w:themeColor="text1"/>
          <w:szCs w:val="20"/>
          <w:lang w:eastAsia="en-GB"/>
        </w:rPr>
        <w:t xml:space="preserve"> </w:t>
      </w:r>
      <w:r w:rsidRPr="007C07C7">
        <w:rPr>
          <w:color w:val="000000" w:themeColor="text1"/>
          <w:szCs w:val="20"/>
          <w:lang w:eastAsia="en-GB"/>
        </w:rPr>
        <w:t>sustainable use biodiversity and ecosystems</w:t>
      </w:r>
    </w:p>
    <w:p w14:paraId="483527D9" w14:textId="77777777" w:rsidR="001F28E4" w:rsidRDefault="001F28E4" w:rsidP="007C07C7">
      <w:pPr>
        <w:ind w:left="720" w:hanging="720"/>
        <w:rPr>
          <w:color w:val="000000" w:themeColor="text1"/>
          <w:szCs w:val="20"/>
          <w:lang w:eastAsia="en-GB"/>
        </w:rPr>
      </w:pPr>
    </w:p>
    <w:p w14:paraId="0709B54C" w14:textId="77777777" w:rsidR="00157FC3" w:rsidRDefault="007C07C7" w:rsidP="007C07C7">
      <w:pPr>
        <w:ind w:left="720" w:hanging="720"/>
        <w:rPr>
          <w:color w:val="000000" w:themeColor="text1"/>
          <w:szCs w:val="20"/>
          <w:lang w:eastAsia="en-GB"/>
        </w:rPr>
      </w:pPr>
      <w:r w:rsidRPr="007C07C7">
        <w:rPr>
          <w:color w:val="000000" w:themeColor="text1"/>
          <w:szCs w:val="20"/>
          <w:lang w:eastAsia="en-GB"/>
        </w:rPr>
        <w:t>SDG 16</w:t>
      </w:r>
      <w:r w:rsidR="00BE4219">
        <w:rPr>
          <w:color w:val="000000" w:themeColor="text1"/>
          <w:szCs w:val="20"/>
          <w:lang w:eastAsia="en-GB"/>
        </w:rPr>
        <w:t xml:space="preserve"> (Peace, Justice and Strong Institutions) </w:t>
      </w:r>
    </w:p>
    <w:p w14:paraId="7DC1CA4B" w14:textId="1A7CD3BE" w:rsidR="007C07C7" w:rsidRDefault="007C07C7" w:rsidP="00157FC3">
      <w:pPr>
        <w:ind w:left="720" w:hanging="720"/>
        <w:rPr>
          <w:color w:val="000000" w:themeColor="text1"/>
          <w:szCs w:val="20"/>
          <w:lang w:eastAsia="en-GB"/>
        </w:rPr>
      </w:pPr>
      <w:r w:rsidRPr="007C07C7">
        <w:rPr>
          <w:color w:val="000000" w:themeColor="text1"/>
          <w:szCs w:val="20"/>
          <w:lang w:eastAsia="en-GB"/>
        </w:rPr>
        <w:t xml:space="preserve">Target 16.6 Develop effective, accountable and transparent institutions at all levels </w:t>
      </w:r>
    </w:p>
    <w:p w14:paraId="0DCE40E0" w14:textId="77777777" w:rsidR="001F28E4" w:rsidRPr="007C07C7" w:rsidRDefault="001F28E4" w:rsidP="007C07C7">
      <w:pPr>
        <w:ind w:left="720" w:hanging="720"/>
        <w:rPr>
          <w:color w:val="000000" w:themeColor="text1"/>
          <w:szCs w:val="20"/>
          <w:lang w:eastAsia="en-GB"/>
        </w:rPr>
      </w:pPr>
    </w:p>
    <w:p w14:paraId="22ECDA25" w14:textId="1FA547A2" w:rsidR="001F28E4" w:rsidRDefault="007C07C7" w:rsidP="007C07C7">
      <w:pPr>
        <w:ind w:left="720" w:hanging="720"/>
        <w:rPr>
          <w:color w:val="000000" w:themeColor="text1"/>
          <w:szCs w:val="20"/>
          <w:lang w:eastAsia="en-GB"/>
        </w:rPr>
      </w:pPr>
      <w:r w:rsidRPr="007C07C7">
        <w:rPr>
          <w:color w:val="000000" w:themeColor="text1"/>
          <w:szCs w:val="20"/>
          <w:lang w:eastAsia="en-GB"/>
        </w:rPr>
        <w:t>SDG 17</w:t>
      </w:r>
      <w:r w:rsidR="00BE02AE">
        <w:rPr>
          <w:color w:val="000000" w:themeColor="text1"/>
          <w:szCs w:val="20"/>
          <w:lang w:eastAsia="en-GB"/>
        </w:rPr>
        <w:t xml:space="preserve"> (Partnership for the Goals) </w:t>
      </w:r>
    </w:p>
    <w:p w14:paraId="0E7AA8E5" w14:textId="22B9E267" w:rsidR="007C07C7" w:rsidRPr="007C07C7" w:rsidRDefault="00E51916" w:rsidP="00E51916">
      <w:pPr>
        <w:rPr>
          <w:color w:val="000000" w:themeColor="text1"/>
          <w:szCs w:val="20"/>
          <w:lang w:eastAsia="en-GB"/>
        </w:rPr>
      </w:pPr>
      <w:r w:rsidRPr="007C07C7">
        <w:rPr>
          <w:color w:val="000000" w:themeColor="text1"/>
          <w:szCs w:val="20"/>
          <w:lang w:eastAsia="en-GB"/>
        </w:rPr>
        <w:t xml:space="preserve">Target </w:t>
      </w:r>
      <w:r w:rsidR="007C07C7" w:rsidRPr="007C07C7">
        <w:rPr>
          <w:color w:val="000000" w:themeColor="text1"/>
          <w:szCs w:val="20"/>
          <w:lang w:eastAsia="en-GB"/>
        </w:rPr>
        <w:t xml:space="preserve">17.3 Mobilize additional financial resources for developing countries from multiple sources. </w:t>
      </w:r>
    </w:p>
    <w:p w14:paraId="6AC8606D" w14:textId="502F4702" w:rsidR="001F28E4" w:rsidRDefault="00E51916" w:rsidP="00157FC3">
      <w:pPr>
        <w:rPr>
          <w:color w:val="000000" w:themeColor="text1"/>
          <w:szCs w:val="20"/>
          <w:lang w:eastAsia="en-GB"/>
        </w:rPr>
      </w:pPr>
      <w:r w:rsidRPr="007C07C7">
        <w:rPr>
          <w:color w:val="000000" w:themeColor="text1"/>
          <w:szCs w:val="20"/>
          <w:lang w:eastAsia="en-GB"/>
        </w:rPr>
        <w:t xml:space="preserve">Target </w:t>
      </w:r>
      <w:r w:rsidR="007C07C7" w:rsidRPr="007C07C7">
        <w:rPr>
          <w:color w:val="000000" w:themeColor="text1"/>
          <w:szCs w:val="20"/>
          <w:lang w:eastAsia="en-GB"/>
        </w:rPr>
        <w:t>17.17 Encourage and promote effective public, public-private and civil society partnerships,</w:t>
      </w:r>
    </w:p>
    <w:p w14:paraId="1EC93024" w14:textId="15EECE2C" w:rsidR="00B15CC7" w:rsidRPr="00CD3D9C" w:rsidRDefault="007C07C7" w:rsidP="007C07C7">
      <w:pPr>
        <w:ind w:left="720" w:hanging="720"/>
        <w:rPr>
          <w:color w:val="000000" w:themeColor="text1"/>
          <w:szCs w:val="20"/>
          <w:lang w:eastAsia="en-GB"/>
        </w:rPr>
      </w:pPr>
      <w:r w:rsidRPr="007C07C7">
        <w:rPr>
          <w:color w:val="000000" w:themeColor="text1"/>
          <w:szCs w:val="20"/>
          <w:lang w:eastAsia="en-GB"/>
        </w:rPr>
        <w:t xml:space="preserve">building on the experience and resourcing strategies of partnerships. </w:t>
      </w:r>
    </w:p>
    <w:p w14:paraId="55D07F0B" w14:textId="77777777" w:rsidR="00440A24" w:rsidRPr="00CD3D9C" w:rsidRDefault="00440A24" w:rsidP="001134F6">
      <w:pPr>
        <w:ind w:left="720"/>
        <w:rPr>
          <w:color w:val="000000" w:themeColor="text1"/>
          <w:szCs w:val="20"/>
          <w:lang w:eastAsia="en-GB"/>
        </w:rPr>
      </w:pPr>
    </w:p>
    <w:p w14:paraId="355265B2" w14:textId="72675B29" w:rsidR="009232F4" w:rsidRDefault="00AA2A3C" w:rsidP="001134F6">
      <w:pPr>
        <w:ind w:left="720"/>
        <w:rPr>
          <w:i/>
          <w:iCs/>
          <w:color w:val="C45911" w:themeColor="accent2" w:themeShade="BF"/>
          <w:szCs w:val="20"/>
          <w:lang w:eastAsia="en-GB"/>
        </w:rPr>
      </w:pPr>
      <w:r w:rsidRPr="00CD3D9C">
        <w:rPr>
          <w:color w:val="000000" w:themeColor="text1"/>
          <w:szCs w:val="20"/>
          <w:lang w:eastAsia="en-GB"/>
        </w:rPr>
        <w:t>3.2 Expected SDG impact</w:t>
      </w:r>
      <w:r w:rsidRPr="00CD3D9C">
        <w:rPr>
          <w:b/>
          <w:bCs/>
          <w:color w:val="000000" w:themeColor="text1"/>
          <w:szCs w:val="20"/>
          <w:lang w:eastAsia="en-GB"/>
        </w:rPr>
        <w:t xml:space="preserve"> </w:t>
      </w:r>
    </w:p>
    <w:p w14:paraId="4AAA328C" w14:textId="7E620CC8" w:rsidR="00EC732A" w:rsidRDefault="00EC732A" w:rsidP="001134F6">
      <w:pPr>
        <w:ind w:left="720"/>
        <w:rPr>
          <w:i/>
          <w:iCs/>
          <w:color w:val="C45911" w:themeColor="accent2" w:themeShade="BF"/>
          <w:szCs w:val="20"/>
          <w:lang w:eastAsia="en-GB"/>
        </w:rPr>
      </w:pPr>
    </w:p>
    <w:p w14:paraId="2813FDB7" w14:textId="19026CBA" w:rsidR="00B06AB0" w:rsidRDefault="2AD8743D" w:rsidP="00B06AB0">
      <w:r w:rsidRPr="66A1DF9F">
        <w:rPr>
          <w:color w:val="000000" w:themeColor="text1"/>
          <w:lang w:eastAsia="en-GB"/>
        </w:rPr>
        <w:t xml:space="preserve">The JP aims </w:t>
      </w:r>
      <w:r>
        <w:t>to anchor climate action and gender responsive and equity focused social sector service delivery at the heart of national financing agenda in order to address sustainability and leave no one behind elements of the Agenda 2030. It is expected that this will result in more sustainable financing for these areas which will generate long term development benefits to vulnerable population groups (women, unemployed and at-risk young men and women, migrant labour, elderly, vulnerable children and populations living in remote communities with high exposure to climate induced disasters).</w:t>
      </w:r>
    </w:p>
    <w:p w14:paraId="190C8093" w14:textId="77777777" w:rsidR="00B06AB0" w:rsidRDefault="00B06AB0" w:rsidP="00B531F9">
      <w:pPr>
        <w:rPr>
          <w:szCs w:val="20"/>
        </w:rPr>
      </w:pPr>
    </w:p>
    <w:p w14:paraId="7EC3EA88" w14:textId="5320AA80" w:rsidR="00157FC3" w:rsidRDefault="48F2269B" w:rsidP="66A1DF9F">
      <w:pPr>
        <w:rPr>
          <w:color w:val="000000" w:themeColor="text1"/>
          <w:lang w:eastAsia="en-GB"/>
        </w:rPr>
      </w:pPr>
      <w:r>
        <w:t xml:space="preserve">The JP will </w:t>
      </w:r>
      <w:r w:rsidR="05FDDA12">
        <w:t>have</w:t>
      </w:r>
      <w:r>
        <w:t xml:space="preserve"> an impact on the achievement of SDGs by </w:t>
      </w:r>
      <w:r w:rsidR="05FDDA12">
        <w:t>enabling</w:t>
      </w:r>
      <w:r>
        <w:t xml:space="preserve"> additional financial resources and by increasing the efficiency and effectiveness of current resources.</w:t>
      </w:r>
      <w:r w:rsidR="3F934646">
        <w:t xml:space="preserve"> The JP will steer broader institutional reforms related to the governance and architecture of financing. This is expected to contribute to (i) building cross-government coordination to achieve greater coherence across public and private financing policies (ii) ensuring their alignment with sustainable development priorities and (iii) monitoring the impact of financing policies and reforms including the differentiated impact on women and men. </w:t>
      </w:r>
    </w:p>
    <w:p w14:paraId="6FC4B0B9" w14:textId="77777777" w:rsidR="00157FC3" w:rsidRDefault="00157FC3" w:rsidP="00B531F9">
      <w:pPr>
        <w:rPr>
          <w:color w:val="000000" w:themeColor="text1"/>
          <w:szCs w:val="20"/>
          <w:lang w:eastAsia="en-GB"/>
        </w:rPr>
      </w:pPr>
    </w:p>
    <w:p w14:paraId="452A083B" w14:textId="77777777" w:rsidR="00157FC3" w:rsidRDefault="00157FC3" w:rsidP="00D50E32">
      <w:pPr>
        <w:jc w:val="both"/>
        <w:rPr>
          <w:szCs w:val="20"/>
        </w:rPr>
      </w:pPr>
    </w:p>
    <w:p w14:paraId="0E5269E6" w14:textId="6A2D9008" w:rsidR="00272844" w:rsidRPr="00CD3D9C" w:rsidRDefault="00DB1093" w:rsidP="001134F6">
      <w:pPr>
        <w:rPr>
          <w:rFonts w:eastAsia="Times New Roman"/>
          <w:color w:val="000000" w:themeColor="text1"/>
          <w:szCs w:val="20"/>
          <w:lang w:eastAsia="en-GB"/>
        </w:rPr>
      </w:pPr>
      <w:r w:rsidRPr="00CD3D9C">
        <w:rPr>
          <w:rFonts w:eastAsia="Times New Roman"/>
          <w:b/>
          <w:bCs/>
          <w:color w:val="000000" w:themeColor="text1"/>
          <w:szCs w:val="20"/>
          <w:lang w:eastAsia="en-GB"/>
        </w:rPr>
        <w:t>5</w:t>
      </w:r>
      <w:r w:rsidR="002A6098" w:rsidRPr="00CD3D9C">
        <w:rPr>
          <w:rFonts w:eastAsia="Times New Roman"/>
          <w:b/>
          <w:bCs/>
          <w:color w:val="000000" w:themeColor="text1"/>
          <w:szCs w:val="20"/>
          <w:lang w:eastAsia="en-GB"/>
        </w:rPr>
        <w:t>.</w:t>
      </w:r>
      <w:r w:rsidR="009E3D2F" w:rsidRPr="00CD3D9C">
        <w:rPr>
          <w:rFonts w:eastAsia="Times New Roman"/>
          <w:b/>
          <w:bCs/>
          <w:color w:val="000000" w:themeColor="text1"/>
          <w:szCs w:val="20"/>
          <w:lang w:eastAsia="en-GB"/>
        </w:rPr>
        <w:t xml:space="preserve"> </w:t>
      </w:r>
      <w:r w:rsidR="00272844" w:rsidRPr="00CD3D9C">
        <w:rPr>
          <w:rFonts w:eastAsia="Times New Roman"/>
          <w:b/>
          <w:bCs/>
          <w:color w:val="000000" w:themeColor="text1"/>
          <w:szCs w:val="20"/>
          <w:lang w:eastAsia="en-GB"/>
        </w:rPr>
        <w:t>Relevant objective</w:t>
      </w:r>
      <w:r w:rsidR="00E15FAD" w:rsidRPr="00CD3D9C">
        <w:rPr>
          <w:rFonts w:eastAsia="Times New Roman"/>
          <w:b/>
          <w:bCs/>
          <w:color w:val="000000" w:themeColor="text1"/>
          <w:szCs w:val="20"/>
          <w:lang w:eastAsia="en-GB"/>
        </w:rPr>
        <w:t>(</w:t>
      </w:r>
      <w:r w:rsidR="00272844" w:rsidRPr="00CD3D9C">
        <w:rPr>
          <w:rFonts w:eastAsia="Times New Roman"/>
          <w:b/>
          <w:bCs/>
          <w:color w:val="000000" w:themeColor="text1"/>
          <w:szCs w:val="20"/>
          <w:lang w:eastAsia="en-GB"/>
        </w:rPr>
        <w:t>s</w:t>
      </w:r>
      <w:r w:rsidR="00E15FAD" w:rsidRPr="00CD3D9C">
        <w:rPr>
          <w:rFonts w:eastAsia="Times New Roman"/>
          <w:b/>
          <w:bCs/>
          <w:color w:val="000000" w:themeColor="text1"/>
          <w:szCs w:val="20"/>
          <w:lang w:eastAsia="en-GB"/>
        </w:rPr>
        <w:t>)</w:t>
      </w:r>
      <w:r w:rsidR="00272844" w:rsidRPr="00CD3D9C">
        <w:rPr>
          <w:rFonts w:eastAsia="Times New Roman"/>
          <w:b/>
          <w:bCs/>
          <w:color w:val="000000" w:themeColor="text1"/>
          <w:szCs w:val="20"/>
          <w:lang w:eastAsia="en-GB"/>
        </w:rPr>
        <w:t xml:space="preserve"> from the national SDG framework</w:t>
      </w:r>
      <w:r w:rsidR="00272844" w:rsidRPr="00CD3D9C">
        <w:rPr>
          <w:rFonts w:eastAsia="Times New Roman"/>
          <w:color w:val="000000" w:themeColor="text1"/>
          <w:szCs w:val="20"/>
          <w:lang w:eastAsia="en-GB"/>
        </w:rPr>
        <w:t xml:space="preserve"> </w:t>
      </w:r>
    </w:p>
    <w:p w14:paraId="5EBAA909" w14:textId="77777777" w:rsidR="00607AA2" w:rsidRDefault="00607AA2" w:rsidP="00D50E32">
      <w:pPr>
        <w:rPr>
          <w:szCs w:val="20"/>
        </w:rPr>
      </w:pPr>
    </w:p>
    <w:p w14:paraId="00FBD244" w14:textId="43C7B013" w:rsidR="00D50E32" w:rsidRDefault="48F2269B" w:rsidP="00D50E32">
      <w:r>
        <w:t>The S</w:t>
      </w:r>
      <w:r w:rsidR="0E9636AF">
        <w:t>trategic Action Plan of the Government of Maldives (the Maldives medium term national development plan)</w:t>
      </w:r>
      <w:r>
        <w:t xml:space="preserve"> has five sectors; (i) Blue economy – outlines economic priorities and how it will be delivered in a sustainable manner, (ii) Caring state – outlines priorities relevant to social progress, (iii) Dignified families – outlines priorities that address inequality and needs of disadvantaged groups, (iv) Jazeera dhiriulhun – outlines priorities relevant to community infrastructure and services including climate resilience (v) Good governance – </w:t>
      </w:r>
      <w:r>
        <w:lastRenderedPageBreak/>
        <w:t>outlines key governance reforms. Each sector is composed of several sub-sectors. There are 33 sub-sectors in the SAP. The JP contributes to the sectors, Caring state and Jazeera dhiriulhun. Key policy targets it contributes to are:</w:t>
      </w:r>
    </w:p>
    <w:p w14:paraId="360C94A7" w14:textId="77777777" w:rsidR="00E13207" w:rsidRDefault="00E13207" w:rsidP="00E13207">
      <w:pPr>
        <w:ind w:left="720"/>
        <w:rPr>
          <w:rFonts w:eastAsia="Times New Roman"/>
          <w:color w:val="000000" w:themeColor="text1"/>
          <w:szCs w:val="20"/>
          <w:lang w:eastAsia="en-GB"/>
        </w:rPr>
      </w:pPr>
      <w:r>
        <w:rPr>
          <w:szCs w:val="20"/>
        </w:rPr>
        <w:t xml:space="preserve">- </w:t>
      </w:r>
      <w:r w:rsidR="00D50E32" w:rsidRPr="00D50E32">
        <w:rPr>
          <w:rFonts w:eastAsia="Times New Roman"/>
          <w:color w:val="000000" w:themeColor="text1"/>
          <w:szCs w:val="20"/>
          <w:lang w:eastAsia="en-GB"/>
        </w:rPr>
        <w:t>Policy Target: By 2023, at least USD 10 million new private investments leveraged for low emission and adaptation measures.</w:t>
      </w:r>
    </w:p>
    <w:p w14:paraId="28C1FF71" w14:textId="77777777" w:rsidR="00E13207" w:rsidRDefault="00E13207" w:rsidP="00E13207">
      <w:pPr>
        <w:ind w:left="720"/>
        <w:rPr>
          <w:rFonts w:eastAsia="Times New Roman"/>
          <w:color w:val="000000" w:themeColor="text1"/>
          <w:szCs w:val="20"/>
          <w:lang w:eastAsia="en-GB"/>
        </w:rPr>
      </w:pPr>
      <w:r>
        <w:rPr>
          <w:rFonts w:eastAsia="Times New Roman"/>
          <w:color w:val="000000" w:themeColor="text1"/>
          <w:szCs w:val="20"/>
          <w:lang w:eastAsia="en-GB"/>
        </w:rPr>
        <w:t xml:space="preserve">- </w:t>
      </w:r>
      <w:r w:rsidR="00D50E32" w:rsidRPr="00D50E32">
        <w:rPr>
          <w:rFonts w:eastAsia="Times New Roman"/>
          <w:color w:val="000000" w:themeColor="text1"/>
          <w:szCs w:val="20"/>
          <w:lang w:eastAsia="en-GB"/>
        </w:rPr>
        <w:t>Policy Target: By 2023, reduce budgetary deviations to 15% of the Approved Budget</w:t>
      </w:r>
    </w:p>
    <w:p w14:paraId="20441E8B" w14:textId="77777777" w:rsidR="00E13207" w:rsidRDefault="00E13207" w:rsidP="00E13207">
      <w:pPr>
        <w:ind w:left="720"/>
        <w:rPr>
          <w:rFonts w:eastAsia="Times New Roman"/>
          <w:color w:val="000000" w:themeColor="text1"/>
          <w:szCs w:val="20"/>
          <w:lang w:eastAsia="en-GB"/>
        </w:rPr>
      </w:pPr>
      <w:r>
        <w:rPr>
          <w:rFonts w:eastAsia="Times New Roman"/>
          <w:color w:val="000000" w:themeColor="text1"/>
          <w:szCs w:val="20"/>
          <w:lang w:eastAsia="en-GB"/>
        </w:rPr>
        <w:t xml:space="preserve">- </w:t>
      </w:r>
      <w:r w:rsidR="00D50E32" w:rsidRPr="00D50E32">
        <w:rPr>
          <w:rFonts w:eastAsia="Times New Roman"/>
          <w:color w:val="000000" w:themeColor="text1"/>
          <w:szCs w:val="20"/>
          <w:lang w:eastAsia="en-GB"/>
        </w:rPr>
        <w:t>Policy Target: By 2023 70% of the most eligible are benefitted from a harmonized social protection mechanism</w:t>
      </w:r>
    </w:p>
    <w:p w14:paraId="19652736" w14:textId="3A5EAC19" w:rsidR="00D50E32" w:rsidRDefault="00E13207" w:rsidP="00E13207">
      <w:pPr>
        <w:ind w:left="720"/>
        <w:rPr>
          <w:rFonts w:eastAsia="Times New Roman"/>
          <w:color w:val="000000" w:themeColor="text1"/>
          <w:szCs w:val="20"/>
          <w:lang w:eastAsia="en-GB"/>
        </w:rPr>
      </w:pPr>
      <w:r>
        <w:rPr>
          <w:rFonts w:eastAsia="Times New Roman"/>
          <w:color w:val="000000" w:themeColor="text1"/>
          <w:szCs w:val="20"/>
          <w:lang w:eastAsia="en-GB"/>
        </w:rPr>
        <w:t xml:space="preserve">- Policy </w:t>
      </w:r>
      <w:r w:rsidR="00D50E32" w:rsidRPr="00D50E32">
        <w:rPr>
          <w:rFonts w:eastAsia="Times New Roman"/>
          <w:color w:val="000000" w:themeColor="text1"/>
          <w:szCs w:val="20"/>
          <w:lang w:eastAsia="en-GB"/>
        </w:rPr>
        <w:t>Target 4.3: By 2023, cost of essential medicines reduced by at least 33% compared to 2018 level</w:t>
      </w:r>
    </w:p>
    <w:p w14:paraId="5E0513E7" w14:textId="77777777" w:rsidR="00D50E32" w:rsidRPr="00CD3D9C" w:rsidRDefault="00D50E32" w:rsidP="00D50E32">
      <w:pPr>
        <w:rPr>
          <w:rFonts w:eastAsia="Times New Roman"/>
          <w:color w:val="000000" w:themeColor="text1"/>
          <w:szCs w:val="20"/>
          <w:lang w:eastAsia="en-GB"/>
        </w:rPr>
      </w:pPr>
    </w:p>
    <w:p w14:paraId="26DE1093" w14:textId="7CCCA3C7" w:rsidR="0041215F" w:rsidRPr="00CD3D9C" w:rsidRDefault="2AEA1A41" w:rsidP="66A1DF9F">
      <w:pPr>
        <w:rPr>
          <w:rFonts w:eastAsia="Times New Roman"/>
          <w:b/>
          <w:bCs/>
          <w:color w:val="000000" w:themeColor="text1"/>
          <w:lang w:eastAsia="en-GB"/>
        </w:rPr>
      </w:pPr>
      <w:r w:rsidRPr="66A1DF9F">
        <w:rPr>
          <w:rFonts w:eastAsia="Times New Roman"/>
          <w:b/>
          <w:bCs/>
          <w:color w:val="000000" w:themeColor="text1"/>
          <w:lang w:eastAsia="en-GB"/>
        </w:rPr>
        <w:t>6</w:t>
      </w:r>
      <w:r w:rsidR="2A297105" w:rsidRPr="66A1DF9F">
        <w:rPr>
          <w:rFonts w:eastAsia="Times New Roman"/>
          <w:b/>
          <w:bCs/>
          <w:color w:val="000000" w:themeColor="text1"/>
          <w:lang w:eastAsia="en-GB"/>
        </w:rPr>
        <w:t>.</w:t>
      </w:r>
      <w:r w:rsidR="44E1D553" w:rsidRPr="66A1DF9F">
        <w:rPr>
          <w:rFonts w:eastAsia="Times New Roman"/>
          <w:b/>
          <w:bCs/>
          <w:color w:val="000000" w:themeColor="text1"/>
          <w:lang w:eastAsia="en-GB"/>
        </w:rPr>
        <w:t xml:space="preserve"> Brief overview of the Theory of Change of the Joint programme </w:t>
      </w:r>
    </w:p>
    <w:p w14:paraId="61D48E5F" w14:textId="77777777" w:rsidR="00607AA2" w:rsidRDefault="00607AA2" w:rsidP="00607AA2">
      <w:pPr>
        <w:rPr>
          <w:szCs w:val="20"/>
        </w:rPr>
      </w:pPr>
    </w:p>
    <w:p w14:paraId="5DC9CA8F" w14:textId="76B03B01" w:rsidR="00CE01DB" w:rsidRPr="00CD3D9C" w:rsidRDefault="022CCCE1" w:rsidP="00607AA2">
      <w:r>
        <w:t>The theory of change is centered on putting into effect a successful INFF process in the Maldives. The process seeks to (a) strengthen the core system of governance of planning and financing and (b) to mobilise and improve the targeting of financing towards two long term development priorities. The two development priorities are (i) climate action and (ii) reforms required to deliver quality, equitable, gender responsive and sustainable social services.</w:t>
      </w:r>
    </w:p>
    <w:p w14:paraId="216CB09C" w14:textId="77777777" w:rsidR="00CE01DB" w:rsidRPr="00CD3D9C" w:rsidRDefault="00CE01DB" w:rsidP="00607AA2">
      <w:pPr>
        <w:rPr>
          <w:szCs w:val="20"/>
        </w:rPr>
      </w:pPr>
    </w:p>
    <w:p w14:paraId="61C01049" w14:textId="6E48A71C" w:rsidR="00CE01DB" w:rsidRPr="00CD3D9C" w:rsidRDefault="00CE01DB" w:rsidP="00607AA2">
      <w:pPr>
        <w:rPr>
          <w:szCs w:val="20"/>
        </w:rPr>
      </w:pPr>
      <w:r w:rsidRPr="00CD3D9C">
        <w:rPr>
          <w:szCs w:val="20"/>
        </w:rPr>
        <w:t>The overall goal is that the population benefits from increased climate resilience and quality and equitable social services. The JP aims to increase the likelihood of Maldives achieving SDG targets relevant to climate action (Goal</w:t>
      </w:r>
      <w:r w:rsidR="00A81240">
        <w:rPr>
          <w:szCs w:val="20"/>
        </w:rPr>
        <w:t>s</w:t>
      </w:r>
      <w:r w:rsidRPr="00CD3D9C">
        <w:rPr>
          <w:szCs w:val="20"/>
        </w:rPr>
        <w:t xml:space="preserve"> 2, 6, 7, 11, 14, 15) and social services (Goal</w:t>
      </w:r>
      <w:r w:rsidR="00A81240">
        <w:rPr>
          <w:szCs w:val="20"/>
        </w:rPr>
        <w:t>s</w:t>
      </w:r>
      <w:r w:rsidRPr="00CD3D9C">
        <w:rPr>
          <w:szCs w:val="20"/>
        </w:rPr>
        <w:t xml:space="preserve"> 2, 3, 4, 5, 7, 10). To achieve the goal, two outcome pathways are evident: </w:t>
      </w:r>
    </w:p>
    <w:p w14:paraId="203DA287" w14:textId="77777777" w:rsidR="00CE01DB" w:rsidRPr="00CD3D9C" w:rsidRDefault="022CCCE1" w:rsidP="00607AA2">
      <w:pPr>
        <w:pStyle w:val="ListParagraph"/>
        <w:numPr>
          <w:ilvl w:val="0"/>
          <w:numId w:val="39"/>
        </w:numPr>
      </w:pPr>
      <w:r>
        <w:t>The first outcome pathway is to have more financing available through mobilization of a broadened/diversified financing base (inclusive of private sector actors, non-traditional donors) and by unlocking fiscal space through improving efficiency of public sector spending for improving wellbeing outcomes for women and men. This is achieved through an integrated financing strategy that is based on reliable financing estimates taking into account the impact of the Covid-19 crisis on the economy and the population.</w:t>
      </w:r>
    </w:p>
    <w:p w14:paraId="7790DEFE" w14:textId="031219EC" w:rsidR="00CE01DB" w:rsidRPr="00CD3D9C" w:rsidRDefault="00CE01DB" w:rsidP="00607AA2">
      <w:pPr>
        <w:pStyle w:val="ListParagraph"/>
        <w:numPr>
          <w:ilvl w:val="0"/>
          <w:numId w:val="39"/>
        </w:numPr>
        <w:rPr>
          <w:szCs w:val="20"/>
        </w:rPr>
      </w:pPr>
      <w:r w:rsidRPr="00CD3D9C">
        <w:rPr>
          <w:szCs w:val="20"/>
        </w:rPr>
        <w:t>The second outcome pathway is to achieve quality in the delivery of financing through prioritization and alignment of investments with long-term national development priority areas including climate action and social sector reform</w:t>
      </w:r>
      <w:r>
        <w:rPr>
          <w:szCs w:val="20"/>
        </w:rPr>
        <w:t xml:space="preserve"> to meet the needs of women and men</w:t>
      </w:r>
      <w:r w:rsidRPr="00CD3D9C">
        <w:rPr>
          <w:szCs w:val="20"/>
        </w:rPr>
        <w:t>. This is achieved through a strengthened institutional architecture that brings in the necessary coordination between national planning and financing processes and coordination of the various financing policies and reform initiatives involving public finance, ODA, climate finance and private finance actors. The quality of delivery will be further improved through strengthened monitoring of investments and assessment of impact of public and private financing</w:t>
      </w:r>
      <w:r>
        <w:rPr>
          <w:szCs w:val="20"/>
        </w:rPr>
        <w:t xml:space="preserve"> on women and men</w:t>
      </w:r>
      <w:r w:rsidRPr="00CD3D9C">
        <w:rPr>
          <w:szCs w:val="20"/>
        </w:rPr>
        <w:t xml:space="preserve">. The quality of delivery of financing is expected to </w:t>
      </w:r>
      <w:r w:rsidR="00A81240">
        <w:rPr>
          <w:szCs w:val="20"/>
        </w:rPr>
        <w:t>improve</w:t>
      </w:r>
      <w:r w:rsidRPr="00CD3D9C">
        <w:rPr>
          <w:szCs w:val="20"/>
        </w:rPr>
        <w:t xml:space="preserve"> through stronger dialogue and collaboration on financing policy between government and other non-state stakeholders.</w:t>
      </w:r>
    </w:p>
    <w:p w14:paraId="2D82094A" w14:textId="77777777" w:rsidR="00CD3D9C" w:rsidRPr="00CD3D9C" w:rsidRDefault="00CD3D9C" w:rsidP="00E37CD9">
      <w:pPr>
        <w:contextualSpacing/>
        <w:rPr>
          <w:rFonts w:eastAsia="Times New Roman"/>
          <w:b/>
          <w:bCs/>
          <w:color w:val="000000" w:themeColor="text1"/>
          <w:szCs w:val="20"/>
          <w:lang w:eastAsia="en-GB"/>
        </w:rPr>
      </w:pPr>
    </w:p>
    <w:p w14:paraId="4F86C8BC" w14:textId="255F2182" w:rsidR="00E37CD9" w:rsidRPr="00CD3D9C" w:rsidRDefault="00E37CD9" w:rsidP="00E37CD9">
      <w:pPr>
        <w:contextualSpacing/>
        <w:rPr>
          <w:rFonts w:eastAsia="Times New Roman"/>
          <w:i/>
          <w:iCs/>
          <w:color w:val="C45911" w:themeColor="accent2" w:themeShade="BF"/>
          <w:szCs w:val="20"/>
          <w:lang w:eastAsia="en-GB"/>
        </w:rPr>
      </w:pPr>
      <w:r w:rsidRPr="00CD3D9C">
        <w:rPr>
          <w:rFonts w:eastAsia="Times New Roman"/>
          <w:b/>
          <w:bCs/>
          <w:color w:val="000000" w:themeColor="text1"/>
          <w:szCs w:val="20"/>
          <w:lang w:eastAsia="en-GB"/>
        </w:rPr>
        <w:t>7. Trans-boundary and/or regional issues</w:t>
      </w:r>
      <w:r w:rsidRPr="00CD3D9C">
        <w:rPr>
          <w:rFonts w:eastAsia="Times New Roman"/>
          <w:color w:val="000000" w:themeColor="text1"/>
          <w:szCs w:val="20"/>
          <w:lang w:eastAsia="en-GB"/>
        </w:rPr>
        <w:t xml:space="preserve"> </w:t>
      </w:r>
    </w:p>
    <w:p w14:paraId="7B20541A" w14:textId="63D183D7" w:rsidR="00781BCF" w:rsidRDefault="00781BCF" w:rsidP="00F07243">
      <w:pPr>
        <w:contextualSpacing/>
        <w:rPr>
          <w:rFonts w:eastAsia="Times New Roman"/>
          <w:b/>
          <w:iCs/>
          <w:color w:val="2F5496" w:themeColor="accent1" w:themeShade="BF"/>
          <w:szCs w:val="20"/>
          <w:lang w:eastAsia="en-GB"/>
        </w:rPr>
      </w:pPr>
    </w:p>
    <w:p w14:paraId="6EC939F3" w14:textId="0D11C9E1" w:rsidR="00781BCF" w:rsidRDefault="6B4FF5DD" w:rsidP="66A1DF9F">
      <w:pPr>
        <w:autoSpaceDE w:val="0"/>
        <w:autoSpaceDN w:val="0"/>
        <w:adjustRightInd w:val="0"/>
        <w:rPr>
          <w:rFonts w:cs="CIDFont+F4"/>
        </w:rPr>
      </w:pPr>
      <w:r w:rsidRPr="66A1DF9F">
        <w:rPr>
          <w:rFonts w:cs="CIDFont+F4"/>
        </w:rPr>
        <w:t xml:space="preserve">The JP is not addressing any specific regional or trans-boundary issues, but can be described as building on and learning lessons from similar </w:t>
      </w:r>
      <w:r w:rsidR="1FB1BD7D" w:rsidRPr="66A1DF9F">
        <w:rPr>
          <w:rFonts w:cs="CIDFont+F4"/>
        </w:rPr>
        <w:t xml:space="preserve">support by UN agencies in the South Asia and Asia-Pacific region as well as globally. </w:t>
      </w:r>
    </w:p>
    <w:p w14:paraId="7E7A79F4" w14:textId="3BA56ED7" w:rsidR="00866901" w:rsidRDefault="00866901" w:rsidP="00AE2980">
      <w:pPr>
        <w:autoSpaceDE w:val="0"/>
        <w:autoSpaceDN w:val="0"/>
        <w:adjustRightInd w:val="0"/>
        <w:rPr>
          <w:rFonts w:cs="CIDFont+F4"/>
          <w:szCs w:val="20"/>
        </w:rPr>
      </w:pPr>
    </w:p>
    <w:p w14:paraId="549A08D8" w14:textId="34521F09" w:rsidR="00866901" w:rsidRDefault="00866901" w:rsidP="00AE2980">
      <w:pPr>
        <w:autoSpaceDE w:val="0"/>
        <w:autoSpaceDN w:val="0"/>
        <w:adjustRightInd w:val="0"/>
        <w:rPr>
          <w:rFonts w:cs="CIDFont+F4"/>
          <w:szCs w:val="20"/>
        </w:rPr>
      </w:pPr>
    </w:p>
    <w:p w14:paraId="4D7D6A92" w14:textId="3D21D40F" w:rsidR="00866901" w:rsidRDefault="00866901" w:rsidP="00AE2980">
      <w:pPr>
        <w:autoSpaceDE w:val="0"/>
        <w:autoSpaceDN w:val="0"/>
        <w:adjustRightInd w:val="0"/>
        <w:rPr>
          <w:rFonts w:cs="CIDFont+F4"/>
          <w:szCs w:val="20"/>
        </w:rPr>
      </w:pPr>
    </w:p>
    <w:p w14:paraId="55D11F16" w14:textId="36FCDFFB" w:rsidR="00607AA2" w:rsidRDefault="00607AA2" w:rsidP="00AE2980">
      <w:pPr>
        <w:autoSpaceDE w:val="0"/>
        <w:autoSpaceDN w:val="0"/>
        <w:adjustRightInd w:val="0"/>
        <w:rPr>
          <w:rFonts w:cs="CIDFont+F4"/>
          <w:szCs w:val="20"/>
        </w:rPr>
      </w:pPr>
    </w:p>
    <w:p w14:paraId="1E298125" w14:textId="136528AD" w:rsidR="00607AA2" w:rsidRDefault="00607AA2" w:rsidP="00AE2980">
      <w:pPr>
        <w:autoSpaceDE w:val="0"/>
        <w:autoSpaceDN w:val="0"/>
        <w:adjustRightInd w:val="0"/>
        <w:rPr>
          <w:rFonts w:cs="CIDFont+F4"/>
          <w:szCs w:val="20"/>
        </w:rPr>
      </w:pPr>
    </w:p>
    <w:p w14:paraId="2AD62182" w14:textId="77777777" w:rsidR="00607AA2" w:rsidRDefault="00607AA2" w:rsidP="00AE2980">
      <w:pPr>
        <w:autoSpaceDE w:val="0"/>
        <w:autoSpaceDN w:val="0"/>
        <w:adjustRightInd w:val="0"/>
        <w:rPr>
          <w:rFonts w:cs="CIDFont+F4"/>
          <w:szCs w:val="20"/>
        </w:rPr>
      </w:pPr>
    </w:p>
    <w:p w14:paraId="221141B3" w14:textId="77777777" w:rsidR="00866901" w:rsidRPr="00C62842" w:rsidRDefault="00866901" w:rsidP="00AE2980">
      <w:pPr>
        <w:autoSpaceDE w:val="0"/>
        <w:autoSpaceDN w:val="0"/>
        <w:adjustRightInd w:val="0"/>
        <w:rPr>
          <w:rFonts w:eastAsiaTheme="minorHAnsi" w:cs="CIDFont+F4"/>
          <w:szCs w:val="20"/>
        </w:rPr>
      </w:pPr>
    </w:p>
    <w:p w14:paraId="369C4DFB" w14:textId="46D85512" w:rsidR="00C57A60" w:rsidRPr="00816FD3" w:rsidRDefault="01D10E6A" w:rsidP="66A1DF9F">
      <w:pPr>
        <w:contextualSpacing/>
        <w:jc w:val="center"/>
        <w:rPr>
          <w:rFonts w:eastAsia="Times New Roman"/>
          <w:color w:val="000000" w:themeColor="text1"/>
          <w:u w:val="single"/>
          <w:lang w:eastAsia="en-GB"/>
        </w:rPr>
      </w:pPr>
      <w:r w:rsidRPr="66A1DF9F">
        <w:rPr>
          <w:b/>
          <w:bCs/>
          <w:caps/>
          <w:color w:val="0070C0"/>
        </w:rPr>
        <w:t>C</w:t>
      </w:r>
      <w:r w:rsidR="3AC861A7" w:rsidRPr="66A1DF9F">
        <w:rPr>
          <w:b/>
          <w:bCs/>
          <w:caps/>
          <w:color w:val="0070C0"/>
        </w:rPr>
        <w:t xml:space="preserve">. </w:t>
      </w:r>
      <w:r w:rsidR="05F9D40D" w:rsidRPr="66A1DF9F">
        <w:rPr>
          <w:b/>
          <w:bCs/>
          <w:caps/>
          <w:color w:val="0070C0"/>
        </w:rPr>
        <w:t>Joint Programme description</w:t>
      </w:r>
    </w:p>
    <w:p w14:paraId="2AAD625A" w14:textId="77777777" w:rsidR="00C33D23" w:rsidRPr="00CD3D9C" w:rsidRDefault="00C33D23" w:rsidP="00C33D23">
      <w:pPr>
        <w:rPr>
          <w:color w:val="000000" w:themeColor="text1"/>
          <w:szCs w:val="20"/>
        </w:rPr>
      </w:pPr>
    </w:p>
    <w:p w14:paraId="7C395D8E" w14:textId="77777777" w:rsidR="00C33D23" w:rsidRPr="00CD3D9C" w:rsidRDefault="00C33D23" w:rsidP="00C33D23">
      <w:pPr>
        <w:rPr>
          <w:color w:val="000000" w:themeColor="text1"/>
          <w:szCs w:val="20"/>
        </w:rPr>
      </w:pPr>
    </w:p>
    <w:p w14:paraId="1D2725D3" w14:textId="596A3754" w:rsidR="00090206" w:rsidRPr="00CD3D9C" w:rsidRDefault="009F1E28" w:rsidP="001134F6">
      <w:pPr>
        <w:rPr>
          <w:b/>
          <w:color w:val="0070C0"/>
          <w:szCs w:val="20"/>
        </w:rPr>
      </w:pPr>
      <w:r w:rsidRPr="00CD3D9C">
        <w:rPr>
          <w:b/>
          <w:color w:val="0070C0"/>
          <w:szCs w:val="20"/>
        </w:rPr>
        <w:t>1</w:t>
      </w:r>
      <w:r w:rsidR="0057528B" w:rsidRPr="00CD3D9C">
        <w:rPr>
          <w:b/>
          <w:color w:val="0070C0"/>
          <w:szCs w:val="20"/>
        </w:rPr>
        <w:t xml:space="preserve">. </w:t>
      </w:r>
      <w:r w:rsidR="00632F45" w:rsidRPr="00CD3D9C">
        <w:rPr>
          <w:b/>
          <w:color w:val="0070C0"/>
          <w:szCs w:val="20"/>
        </w:rPr>
        <w:t xml:space="preserve">Baseline and </w:t>
      </w:r>
      <w:r w:rsidR="000741B7" w:rsidRPr="00CD3D9C">
        <w:rPr>
          <w:b/>
          <w:color w:val="0070C0"/>
          <w:szCs w:val="20"/>
        </w:rPr>
        <w:t xml:space="preserve">Situation </w:t>
      </w:r>
      <w:r w:rsidR="00C54169" w:rsidRPr="00CD3D9C">
        <w:rPr>
          <w:b/>
          <w:color w:val="0070C0"/>
          <w:szCs w:val="20"/>
        </w:rPr>
        <w:t>A</w:t>
      </w:r>
      <w:r w:rsidR="000741B7" w:rsidRPr="00CD3D9C">
        <w:rPr>
          <w:b/>
          <w:color w:val="0070C0"/>
          <w:szCs w:val="20"/>
        </w:rPr>
        <w:t xml:space="preserve">nalysis </w:t>
      </w:r>
    </w:p>
    <w:p w14:paraId="5B49102F" w14:textId="77777777" w:rsidR="00090206" w:rsidRPr="00CD3D9C" w:rsidRDefault="00090206" w:rsidP="001134F6">
      <w:pPr>
        <w:rPr>
          <w:i/>
          <w:color w:val="C45911" w:themeColor="accent2" w:themeShade="BF"/>
          <w:szCs w:val="20"/>
        </w:rPr>
      </w:pPr>
    </w:p>
    <w:p w14:paraId="272F759F" w14:textId="739B506D" w:rsidR="00090206" w:rsidRPr="00CD3D9C" w:rsidRDefault="00090206" w:rsidP="00B340E7">
      <w:pPr>
        <w:rPr>
          <w:b/>
          <w:bCs/>
          <w:iCs/>
          <w:color w:val="000000" w:themeColor="text1"/>
          <w:szCs w:val="20"/>
        </w:rPr>
      </w:pPr>
      <w:r w:rsidRPr="00CD3D9C">
        <w:rPr>
          <w:b/>
          <w:bCs/>
          <w:iCs/>
          <w:color w:val="000000" w:themeColor="text1"/>
          <w:szCs w:val="20"/>
        </w:rPr>
        <w:t xml:space="preserve">1.1 </w:t>
      </w:r>
      <w:r w:rsidR="00632F45" w:rsidRPr="00CD3D9C">
        <w:rPr>
          <w:b/>
          <w:bCs/>
          <w:iCs/>
          <w:color w:val="000000" w:themeColor="text1"/>
          <w:szCs w:val="20"/>
        </w:rPr>
        <w:t>P</w:t>
      </w:r>
      <w:r w:rsidRPr="00CD3D9C">
        <w:rPr>
          <w:b/>
          <w:bCs/>
          <w:iCs/>
          <w:color w:val="000000" w:themeColor="text1"/>
          <w:szCs w:val="20"/>
        </w:rPr>
        <w:t>roblem statement</w:t>
      </w:r>
      <w:r w:rsidR="007F314E" w:rsidRPr="00CD3D9C">
        <w:rPr>
          <w:b/>
          <w:bCs/>
          <w:iCs/>
          <w:color w:val="000000" w:themeColor="text1"/>
          <w:szCs w:val="20"/>
        </w:rPr>
        <w:t xml:space="preserve"> </w:t>
      </w:r>
    </w:p>
    <w:p w14:paraId="25F36CBE" w14:textId="4DF156B2" w:rsidR="00B87831" w:rsidRPr="00CD3D9C" w:rsidRDefault="00B87831" w:rsidP="00B340E7">
      <w:pPr>
        <w:autoSpaceDE w:val="0"/>
        <w:autoSpaceDN w:val="0"/>
        <w:adjustRightInd w:val="0"/>
        <w:rPr>
          <w:rFonts w:eastAsiaTheme="minorHAnsi" w:cs="MyriadPro-Light"/>
          <w:color w:val="1F497D"/>
          <w:szCs w:val="20"/>
          <w:lang w:val="en-ZA"/>
        </w:rPr>
      </w:pPr>
    </w:p>
    <w:p w14:paraId="7DA54E8C" w14:textId="3D8076CA" w:rsidR="005D15BC" w:rsidRDefault="00337773" w:rsidP="00DF0228">
      <w:pPr>
        <w:autoSpaceDE w:val="0"/>
        <w:autoSpaceDN w:val="0"/>
        <w:adjustRightInd w:val="0"/>
        <w:rPr>
          <w:szCs w:val="20"/>
        </w:rPr>
      </w:pPr>
      <w:r w:rsidRPr="00CD3D9C">
        <w:rPr>
          <w:szCs w:val="20"/>
        </w:rPr>
        <w:t>Maldives is a Small Island Developing State (SIDS)</w:t>
      </w:r>
      <w:r w:rsidR="001F499A" w:rsidRPr="00CD3D9C">
        <w:rPr>
          <w:szCs w:val="20"/>
        </w:rPr>
        <w:t xml:space="preserve"> with a </w:t>
      </w:r>
      <w:r w:rsidR="00B25E87" w:rsidRPr="00CD3D9C">
        <w:rPr>
          <w:szCs w:val="20"/>
        </w:rPr>
        <w:t>Middle-Income</w:t>
      </w:r>
      <w:r w:rsidR="001F499A" w:rsidRPr="00CD3D9C">
        <w:rPr>
          <w:szCs w:val="20"/>
        </w:rPr>
        <w:t xml:space="preserve"> Country </w:t>
      </w:r>
      <w:r w:rsidR="009E2325" w:rsidRPr="00CD3D9C">
        <w:rPr>
          <w:szCs w:val="20"/>
        </w:rPr>
        <w:t xml:space="preserve">(MIC) </w:t>
      </w:r>
      <w:r w:rsidR="001F499A" w:rsidRPr="00CD3D9C">
        <w:rPr>
          <w:szCs w:val="20"/>
        </w:rPr>
        <w:t xml:space="preserve">status. </w:t>
      </w:r>
      <w:r w:rsidR="00EB305E" w:rsidRPr="00CD3D9C">
        <w:rPr>
          <w:szCs w:val="20"/>
        </w:rPr>
        <w:t>It is</w:t>
      </w:r>
      <w:r w:rsidR="000D5D7B" w:rsidRPr="00CD3D9C">
        <w:rPr>
          <w:szCs w:val="20"/>
        </w:rPr>
        <w:t xml:space="preserve"> amongst countries in the high human development category (Maldives’ HDI value for 2018 was 0.719)</w:t>
      </w:r>
      <w:r w:rsidR="00EB305E" w:rsidRPr="00CD3D9C">
        <w:rPr>
          <w:szCs w:val="20"/>
        </w:rPr>
        <w:t>.</w:t>
      </w:r>
      <w:r w:rsidR="000D5D7B" w:rsidRPr="00CD3D9C">
        <w:rPr>
          <w:szCs w:val="20"/>
        </w:rPr>
        <w:t xml:space="preserve"> </w:t>
      </w:r>
      <w:r w:rsidR="00EB305E" w:rsidRPr="00CD3D9C">
        <w:rPr>
          <w:szCs w:val="20"/>
        </w:rPr>
        <w:t xml:space="preserve">However, key </w:t>
      </w:r>
      <w:r w:rsidR="000D5D7B" w:rsidRPr="00CD3D9C">
        <w:rPr>
          <w:szCs w:val="20"/>
        </w:rPr>
        <w:t xml:space="preserve">vulnerabilities and inequalities affect the country’s ability to achieve the ambitious Sustainable Development Goals (SDGs). The </w:t>
      </w:r>
      <w:r w:rsidRPr="00CD3D9C">
        <w:rPr>
          <w:szCs w:val="20"/>
        </w:rPr>
        <w:t xml:space="preserve">population of 400,000 </w:t>
      </w:r>
      <w:r w:rsidR="000D5D7B" w:rsidRPr="00CD3D9C">
        <w:rPr>
          <w:szCs w:val="20"/>
        </w:rPr>
        <w:t>is</w:t>
      </w:r>
      <w:r w:rsidR="00820870" w:rsidRPr="00CD3D9C">
        <w:rPr>
          <w:szCs w:val="20"/>
        </w:rPr>
        <w:t xml:space="preserve"> </w:t>
      </w:r>
      <w:r w:rsidRPr="00CD3D9C">
        <w:rPr>
          <w:szCs w:val="20"/>
        </w:rPr>
        <w:t>sparsely spread across 187 inhabited islands</w:t>
      </w:r>
      <w:r w:rsidR="00EB305E" w:rsidRPr="00CD3D9C">
        <w:rPr>
          <w:szCs w:val="20"/>
        </w:rPr>
        <w:t>.</w:t>
      </w:r>
      <w:r w:rsidR="00EE03D6" w:rsidRPr="00CD3D9C">
        <w:rPr>
          <w:szCs w:val="20"/>
        </w:rPr>
        <w:t xml:space="preserve"> </w:t>
      </w:r>
      <w:r w:rsidR="00EB305E" w:rsidRPr="00CD3D9C">
        <w:rPr>
          <w:szCs w:val="20"/>
        </w:rPr>
        <w:t>This</w:t>
      </w:r>
      <w:r w:rsidR="00EE03D6" w:rsidRPr="00CD3D9C">
        <w:rPr>
          <w:szCs w:val="20"/>
        </w:rPr>
        <w:t xml:space="preserve"> makes </w:t>
      </w:r>
      <w:r w:rsidR="00EB305E" w:rsidRPr="00CD3D9C">
        <w:rPr>
          <w:szCs w:val="20"/>
        </w:rPr>
        <w:t xml:space="preserve">quality </w:t>
      </w:r>
      <w:r w:rsidR="00EE03D6" w:rsidRPr="00CD3D9C">
        <w:rPr>
          <w:szCs w:val="20"/>
        </w:rPr>
        <w:t>service delivery challenging and costly</w:t>
      </w:r>
      <w:r w:rsidRPr="00CD3D9C">
        <w:rPr>
          <w:szCs w:val="20"/>
        </w:rPr>
        <w:t>.</w:t>
      </w:r>
      <w:r w:rsidR="00411763" w:rsidRPr="00CD3D9C">
        <w:rPr>
          <w:szCs w:val="20"/>
        </w:rPr>
        <w:t xml:space="preserve"> </w:t>
      </w:r>
      <w:bookmarkStart w:id="0" w:name="_Hlk34923936"/>
      <w:r w:rsidR="004D236B" w:rsidRPr="00CD3D9C">
        <w:rPr>
          <w:szCs w:val="20"/>
        </w:rPr>
        <w:t>Inequalities based on spatial disparities, income, age</w:t>
      </w:r>
      <w:r w:rsidR="00820870" w:rsidRPr="00CD3D9C">
        <w:rPr>
          <w:szCs w:val="20"/>
        </w:rPr>
        <w:t>, disability</w:t>
      </w:r>
      <w:r w:rsidR="004D236B" w:rsidRPr="00CD3D9C">
        <w:rPr>
          <w:szCs w:val="20"/>
        </w:rPr>
        <w:t xml:space="preserve"> and </w:t>
      </w:r>
      <w:r w:rsidR="004D236B" w:rsidRPr="005D15BC">
        <w:t>gender</w:t>
      </w:r>
      <w:r w:rsidR="004D236B" w:rsidRPr="005D15BC">
        <w:rPr>
          <w:szCs w:val="20"/>
        </w:rPr>
        <w:t xml:space="preserve"> have persisted</w:t>
      </w:r>
      <w:r w:rsidR="00330157" w:rsidRPr="005D15BC">
        <w:rPr>
          <w:szCs w:val="20"/>
        </w:rPr>
        <w:t xml:space="preserve"> despite an impressive growth trajectory</w:t>
      </w:r>
      <w:r w:rsidR="004D236B" w:rsidRPr="005D15BC">
        <w:rPr>
          <w:szCs w:val="20"/>
        </w:rPr>
        <w:t xml:space="preserve">. </w:t>
      </w:r>
      <w:bookmarkEnd w:id="0"/>
      <w:r w:rsidR="00D90D9E" w:rsidRPr="005D15BC">
        <w:rPr>
          <w:szCs w:val="20"/>
        </w:rPr>
        <w:t xml:space="preserve">The Multidimensional </w:t>
      </w:r>
      <w:r w:rsidR="006E2314" w:rsidRPr="005D15BC">
        <w:rPr>
          <w:szCs w:val="20"/>
        </w:rPr>
        <w:t>P</w:t>
      </w:r>
      <w:r w:rsidR="00D90D9E" w:rsidRPr="005D15BC">
        <w:rPr>
          <w:szCs w:val="20"/>
        </w:rPr>
        <w:t xml:space="preserve">overty </w:t>
      </w:r>
      <w:r w:rsidR="006E2314" w:rsidRPr="005D15BC">
        <w:rPr>
          <w:szCs w:val="20"/>
        </w:rPr>
        <w:t>I</w:t>
      </w:r>
      <w:r w:rsidR="00D90D9E" w:rsidRPr="005D15BC">
        <w:rPr>
          <w:szCs w:val="20"/>
        </w:rPr>
        <w:t xml:space="preserve">ndex </w:t>
      </w:r>
      <w:r w:rsidR="006E2314" w:rsidRPr="005D15BC">
        <w:rPr>
          <w:szCs w:val="20"/>
        </w:rPr>
        <w:t>(MPI</w:t>
      </w:r>
      <w:r w:rsidR="00820870" w:rsidRPr="005D15BC">
        <w:rPr>
          <w:szCs w:val="20"/>
        </w:rPr>
        <w:t>, 2019</w:t>
      </w:r>
      <w:r w:rsidR="006E2314" w:rsidRPr="005D15BC">
        <w:rPr>
          <w:szCs w:val="20"/>
        </w:rPr>
        <w:t>)</w:t>
      </w:r>
      <w:r w:rsidR="0087096D" w:rsidRPr="005D15BC">
        <w:rPr>
          <w:szCs w:val="20"/>
        </w:rPr>
        <w:t xml:space="preserve"> data</w:t>
      </w:r>
      <w:r w:rsidR="006E2314" w:rsidRPr="005D15BC">
        <w:rPr>
          <w:szCs w:val="20"/>
        </w:rPr>
        <w:t xml:space="preserve"> </w:t>
      </w:r>
      <w:r w:rsidR="00D90D9E" w:rsidRPr="005D15BC">
        <w:rPr>
          <w:szCs w:val="20"/>
        </w:rPr>
        <w:t>for the Maldives</w:t>
      </w:r>
      <w:r w:rsidR="000D5D7B" w:rsidRPr="005D15BC">
        <w:rPr>
          <w:szCs w:val="20"/>
        </w:rPr>
        <w:t xml:space="preserve"> show that </w:t>
      </w:r>
      <w:r w:rsidR="00D90D9E" w:rsidRPr="005D15BC">
        <w:rPr>
          <w:szCs w:val="20"/>
        </w:rPr>
        <w:t>almost one third of the population is multidimensionally poor</w:t>
      </w:r>
      <w:r w:rsidR="004D236B" w:rsidRPr="005D15BC">
        <w:rPr>
          <w:szCs w:val="20"/>
        </w:rPr>
        <w:t xml:space="preserve">. </w:t>
      </w:r>
      <w:r w:rsidR="00D90D9E" w:rsidRPr="005D15BC">
        <w:t xml:space="preserve">This </w:t>
      </w:r>
      <w:r w:rsidR="0032693F" w:rsidRPr="005D15BC">
        <w:t>is higher</w:t>
      </w:r>
      <w:r w:rsidR="00D90D9E" w:rsidRPr="005D15BC">
        <w:t xml:space="preserve"> for </w:t>
      </w:r>
      <w:r w:rsidR="00132A3D" w:rsidRPr="005D15BC">
        <w:t xml:space="preserve">female </w:t>
      </w:r>
      <w:r w:rsidR="00D90D9E" w:rsidRPr="005D15BC">
        <w:t>children,</w:t>
      </w:r>
      <w:r w:rsidR="00D90D9E" w:rsidRPr="005D15BC">
        <w:rPr>
          <w:szCs w:val="20"/>
        </w:rPr>
        <w:t xml:space="preserve"> elderly, disabled and those living in some parts of the atolls.</w:t>
      </w:r>
      <w:r w:rsidR="004D236B" w:rsidRPr="005D15BC">
        <w:rPr>
          <w:szCs w:val="20"/>
        </w:rPr>
        <w:t xml:space="preserve"> </w:t>
      </w:r>
      <w:r w:rsidR="00330157" w:rsidRPr="005D15BC">
        <w:rPr>
          <w:szCs w:val="20"/>
        </w:rPr>
        <w:t>The country experiences</w:t>
      </w:r>
      <w:r w:rsidR="00330157" w:rsidRPr="00CD3D9C">
        <w:rPr>
          <w:szCs w:val="20"/>
        </w:rPr>
        <w:t xml:space="preserve"> e</w:t>
      </w:r>
      <w:r w:rsidR="005469AA" w:rsidRPr="00CD3D9C">
        <w:rPr>
          <w:szCs w:val="20"/>
        </w:rPr>
        <w:t xml:space="preserve">conomic vulnerability </w:t>
      </w:r>
      <w:r w:rsidR="00330157" w:rsidRPr="00CD3D9C">
        <w:rPr>
          <w:szCs w:val="20"/>
        </w:rPr>
        <w:t xml:space="preserve">due to </w:t>
      </w:r>
      <w:r w:rsidR="005469AA" w:rsidRPr="00CD3D9C">
        <w:rPr>
          <w:szCs w:val="20"/>
        </w:rPr>
        <w:t>the</w:t>
      </w:r>
      <w:r w:rsidR="00411763" w:rsidRPr="00CD3D9C">
        <w:rPr>
          <w:szCs w:val="20"/>
        </w:rPr>
        <w:t xml:space="preserve"> economy’s high dependence on tourism</w:t>
      </w:r>
      <w:r w:rsidR="00EB305E" w:rsidRPr="00CD3D9C">
        <w:rPr>
          <w:szCs w:val="20"/>
        </w:rPr>
        <w:t>. In 2018, tourism sector accounted for 24.3% of GDP.</w:t>
      </w:r>
      <w:r w:rsidR="00EB305E" w:rsidRPr="00CD3D9C">
        <w:rPr>
          <w:rStyle w:val="FootnoteReference"/>
          <w:szCs w:val="20"/>
        </w:rPr>
        <w:footnoteReference w:id="2"/>
      </w:r>
      <w:r w:rsidR="005469AA" w:rsidRPr="00CD3D9C">
        <w:rPr>
          <w:szCs w:val="20"/>
        </w:rPr>
        <w:t xml:space="preserve"> </w:t>
      </w:r>
      <w:r w:rsidR="005D15BC">
        <w:rPr>
          <w:szCs w:val="20"/>
        </w:rPr>
        <w:t xml:space="preserve">The ongoing Covid-19 pandemic has exposed the </w:t>
      </w:r>
      <w:r w:rsidR="00FB5D1E">
        <w:rPr>
          <w:szCs w:val="20"/>
        </w:rPr>
        <w:t>economy’s exposure</w:t>
      </w:r>
      <w:r w:rsidR="005D15BC">
        <w:rPr>
          <w:szCs w:val="20"/>
        </w:rPr>
        <w:t xml:space="preserve"> to external shocks. </w:t>
      </w:r>
      <w:r w:rsidR="005D15BC">
        <w:t>A recent ADB report shows that Maldives amongst the top 3 countries in the Asia region to be hardest hit by the global crisis.</w:t>
      </w:r>
      <w:r w:rsidR="005D15BC">
        <w:rPr>
          <w:rStyle w:val="FootnoteReference"/>
        </w:rPr>
        <w:footnoteReference w:id="3"/>
      </w:r>
      <w:r w:rsidR="005D15BC">
        <w:t xml:space="preserve"> P</w:t>
      </w:r>
      <w:r w:rsidR="005D15BC" w:rsidRPr="00BE6C4E">
        <w:t xml:space="preserve">reliminary forecasts </w:t>
      </w:r>
      <w:r w:rsidR="005D15BC">
        <w:t>by the Government</w:t>
      </w:r>
      <w:r w:rsidR="005D15BC" w:rsidRPr="00BE6C4E">
        <w:t xml:space="preserve"> </w:t>
      </w:r>
      <w:r w:rsidR="005D15BC">
        <w:t xml:space="preserve">show that the projected GDP growth rate of 7.5% for 2020 </w:t>
      </w:r>
      <w:r w:rsidR="005D15BC">
        <w:rPr>
          <w:rFonts w:eastAsia="Times New Roman"/>
        </w:rPr>
        <w:t>could drop within a range between 0.5% to -5.6%.</w:t>
      </w:r>
      <w:r w:rsidR="005D15BC">
        <w:rPr>
          <w:rStyle w:val="FootnoteReference"/>
          <w:rFonts w:eastAsia="Times New Roman"/>
        </w:rPr>
        <w:footnoteReference w:id="4"/>
      </w:r>
      <w:r w:rsidR="005D15BC">
        <w:rPr>
          <w:szCs w:val="20"/>
        </w:rPr>
        <w:t xml:space="preserve"> </w:t>
      </w:r>
      <w:r w:rsidR="00EB305E" w:rsidRPr="00CD3D9C">
        <w:rPr>
          <w:szCs w:val="20"/>
        </w:rPr>
        <w:t xml:space="preserve">As one of the lowest lying countries in the world (over 80 per cent of the land area of Maldives is less than one meter above mean sea level), </w:t>
      </w:r>
      <w:r w:rsidR="005469AA" w:rsidRPr="00CD3D9C">
        <w:rPr>
          <w:szCs w:val="20"/>
        </w:rPr>
        <w:t xml:space="preserve">climate change </w:t>
      </w:r>
      <w:r w:rsidR="00EB305E" w:rsidRPr="00CD3D9C">
        <w:rPr>
          <w:szCs w:val="20"/>
        </w:rPr>
        <w:t>is an existential threat</w:t>
      </w:r>
      <w:r w:rsidR="000E282A" w:rsidRPr="00CD3D9C">
        <w:rPr>
          <w:szCs w:val="20"/>
        </w:rPr>
        <w:t>.</w:t>
      </w:r>
      <w:r w:rsidR="002E31AE">
        <w:rPr>
          <w:szCs w:val="20"/>
        </w:rPr>
        <w:t xml:space="preserve"> Recently</w:t>
      </w:r>
      <w:r w:rsidR="005469AA" w:rsidRPr="00CD3D9C">
        <w:rPr>
          <w:szCs w:val="20"/>
        </w:rPr>
        <w:t>, 62 percent of all inhabited islands and 45 percent of tourist resorts reported severe beach erosion</w:t>
      </w:r>
      <w:r w:rsidR="005D15BC">
        <w:rPr>
          <w:szCs w:val="20"/>
        </w:rPr>
        <w:t>. Climate stresses negatively impact livelihoods</w:t>
      </w:r>
      <w:r w:rsidR="00407922">
        <w:rPr>
          <w:szCs w:val="20"/>
        </w:rPr>
        <w:t>,</w:t>
      </w:r>
      <w:r w:rsidR="005D15BC">
        <w:rPr>
          <w:szCs w:val="20"/>
        </w:rPr>
        <w:t xml:space="preserve"> particularly </w:t>
      </w:r>
      <w:r w:rsidR="00407922">
        <w:rPr>
          <w:szCs w:val="20"/>
        </w:rPr>
        <w:t>those</w:t>
      </w:r>
      <w:r w:rsidR="005D15BC">
        <w:rPr>
          <w:szCs w:val="20"/>
        </w:rPr>
        <w:t xml:space="preserve"> of women who depend on natural resources.</w:t>
      </w:r>
    </w:p>
    <w:p w14:paraId="6430EB2E" w14:textId="77777777" w:rsidR="000C1666" w:rsidRDefault="000C1666" w:rsidP="00DF0228">
      <w:pPr>
        <w:autoSpaceDE w:val="0"/>
        <w:autoSpaceDN w:val="0"/>
        <w:adjustRightInd w:val="0"/>
        <w:rPr>
          <w:szCs w:val="20"/>
        </w:rPr>
      </w:pPr>
    </w:p>
    <w:p w14:paraId="022C7458" w14:textId="1F9F147B" w:rsidR="000C1666" w:rsidRDefault="000C1666" w:rsidP="00DF0228">
      <w:pPr>
        <w:autoSpaceDE w:val="0"/>
        <w:autoSpaceDN w:val="0"/>
        <w:adjustRightInd w:val="0"/>
        <w:rPr>
          <w:szCs w:val="20"/>
        </w:rPr>
      </w:pPr>
      <w:r>
        <w:rPr>
          <w:szCs w:val="20"/>
        </w:rPr>
        <w:t xml:space="preserve">The problems </w:t>
      </w:r>
      <w:r w:rsidR="00B15736">
        <w:rPr>
          <w:szCs w:val="20"/>
        </w:rPr>
        <w:t>associated with the</w:t>
      </w:r>
      <w:r>
        <w:rPr>
          <w:szCs w:val="20"/>
        </w:rPr>
        <w:t xml:space="preserve"> financing context in the Maldives relate to </w:t>
      </w:r>
      <w:r w:rsidR="00B15736">
        <w:rPr>
          <w:szCs w:val="20"/>
        </w:rPr>
        <w:t>(a)</w:t>
      </w:r>
      <w:r>
        <w:rPr>
          <w:szCs w:val="20"/>
        </w:rPr>
        <w:t xml:space="preserve"> availability</w:t>
      </w:r>
      <w:r w:rsidR="00B15736">
        <w:rPr>
          <w:szCs w:val="20"/>
        </w:rPr>
        <w:t xml:space="preserve"> of financing </w:t>
      </w:r>
      <w:r>
        <w:rPr>
          <w:szCs w:val="20"/>
        </w:rPr>
        <w:t xml:space="preserve">and </w:t>
      </w:r>
      <w:r w:rsidR="00B15736">
        <w:rPr>
          <w:szCs w:val="20"/>
        </w:rPr>
        <w:t xml:space="preserve">(b) </w:t>
      </w:r>
      <w:r>
        <w:rPr>
          <w:szCs w:val="20"/>
        </w:rPr>
        <w:t xml:space="preserve">the alignment of financing </w:t>
      </w:r>
      <w:r w:rsidR="00B15736">
        <w:rPr>
          <w:szCs w:val="20"/>
        </w:rPr>
        <w:t xml:space="preserve">to </w:t>
      </w:r>
      <w:r w:rsidR="00C24F1A">
        <w:rPr>
          <w:szCs w:val="20"/>
        </w:rPr>
        <w:t>address</w:t>
      </w:r>
      <w:r w:rsidR="00B15736">
        <w:rPr>
          <w:szCs w:val="20"/>
        </w:rPr>
        <w:t xml:space="preserve"> the stated inequalities and vulnerabilities </w:t>
      </w:r>
      <w:r w:rsidR="00C24F1A">
        <w:rPr>
          <w:szCs w:val="20"/>
        </w:rPr>
        <w:t>impacting the Maldives</w:t>
      </w:r>
      <w:r w:rsidR="00BE2741">
        <w:rPr>
          <w:szCs w:val="20"/>
        </w:rPr>
        <w:t xml:space="preserve"> progress on the</w:t>
      </w:r>
      <w:r w:rsidR="00C24F1A">
        <w:rPr>
          <w:szCs w:val="20"/>
        </w:rPr>
        <w:t xml:space="preserve"> </w:t>
      </w:r>
      <w:r w:rsidR="00B15736">
        <w:rPr>
          <w:szCs w:val="20"/>
        </w:rPr>
        <w:t>SDGs</w:t>
      </w:r>
      <w:r w:rsidR="00BE2741">
        <w:rPr>
          <w:szCs w:val="20"/>
        </w:rPr>
        <w:t>.</w:t>
      </w:r>
      <w:r w:rsidR="00C24F1A">
        <w:rPr>
          <w:szCs w:val="20"/>
        </w:rPr>
        <w:t xml:space="preserve"> </w:t>
      </w:r>
    </w:p>
    <w:p w14:paraId="7D5206EE" w14:textId="77777777" w:rsidR="009F3F27" w:rsidRPr="00CD3D9C" w:rsidRDefault="009F3F27" w:rsidP="00DF0228">
      <w:pPr>
        <w:rPr>
          <w:b/>
          <w:bCs/>
          <w:szCs w:val="20"/>
        </w:rPr>
      </w:pPr>
    </w:p>
    <w:p w14:paraId="33CBE389" w14:textId="22085947" w:rsidR="004D236B" w:rsidRPr="00CD3D9C" w:rsidRDefault="004D236B" w:rsidP="00DF0228">
      <w:pPr>
        <w:pStyle w:val="ListParagraph"/>
        <w:numPr>
          <w:ilvl w:val="0"/>
          <w:numId w:val="36"/>
        </w:numPr>
        <w:rPr>
          <w:b/>
          <w:bCs/>
          <w:szCs w:val="20"/>
        </w:rPr>
      </w:pPr>
      <w:r w:rsidRPr="00CD3D9C">
        <w:rPr>
          <w:b/>
          <w:bCs/>
          <w:szCs w:val="20"/>
        </w:rPr>
        <w:t xml:space="preserve">Narrowing scope </w:t>
      </w:r>
      <w:r w:rsidR="00C63FD4" w:rsidRPr="00CD3D9C">
        <w:rPr>
          <w:b/>
          <w:bCs/>
          <w:szCs w:val="20"/>
        </w:rPr>
        <w:t>of available</w:t>
      </w:r>
      <w:r w:rsidR="00721CC9" w:rsidRPr="00CD3D9C">
        <w:rPr>
          <w:b/>
          <w:bCs/>
          <w:szCs w:val="20"/>
        </w:rPr>
        <w:t xml:space="preserve"> development</w:t>
      </w:r>
      <w:r w:rsidRPr="00CD3D9C">
        <w:rPr>
          <w:b/>
          <w:bCs/>
          <w:szCs w:val="20"/>
        </w:rPr>
        <w:t xml:space="preserve"> financing</w:t>
      </w:r>
      <w:r w:rsidR="00411763" w:rsidRPr="00CD3D9C">
        <w:rPr>
          <w:b/>
          <w:bCs/>
          <w:szCs w:val="20"/>
        </w:rPr>
        <w:t xml:space="preserve"> </w:t>
      </w:r>
    </w:p>
    <w:p w14:paraId="24EA2C3A" w14:textId="77777777" w:rsidR="009F3F27" w:rsidRPr="00CD3D9C" w:rsidRDefault="009F3F27" w:rsidP="00DF0228">
      <w:pPr>
        <w:rPr>
          <w:szCs w:val="20"/>
        </w:rPr>
      </w:pPr>
    </w:p>
    <w:p w14:paraId="76E03C52" w14:textId="1385117D" w:rsidR="006663A4" w:rsidRPr="00CD3D9C" w:rsidRDefault="3E4D7DAC" w:rsidP="00DF0228">
      <w:r w:rsidRPr="66A1DF9F">
        <w:rPr>
          <w:b/>
          <w:bCs/>
        </w:rPr>
        <w:t>Domestic public finance:</w:t>
      </w:r>
      <w:r w:rsidRPr="00CD3D9C">
        <w:rPr>
          <w:szCs w:val="20"/>
        </w:rPr>
        <w:t xml:space="preserve"> </w:t>
      </w:r>
      <w:r w:rsidR="234F234C" w:rsidRPr="66A1DF9F">
        <w:t xml:space="preserve">Due to the government’s increased spending and borrowing practices, the Maldives continues to face large and growing public debt and a high current account deficit. The </w:t>
      </w:r>
      <w:r w:rsidR="3B788207" w:rsidRPr="66A1DF9F">
        <w:t>IMF</w:t>
      </w:r>
      <w:r w:rsidR="234F234C" w:rsidRPr="66A1DF9F">
        <w:t xml:space="preserve"> estimates that the 2018 fiscal deficit </w:t>
      </w:r>
      <w:r w:rsidR="78545CC2" w:rsidRPr="66A1DF9F">
        <w:t>is</w:t>
      </w:r>
      <w:r w:rsidR="234F234C" w:rsidRPr="66A1DF9F">
        <w:t xml:space="preserve"> 4.3 percent of GDP, compared to 3 percent of GDP in 2017, and publicly guaranteed debt increase</w:t>
      </w:r>
      <w:r w:rsidR="78545CC2" w:rsidRPr="66A1DF9F">
        <w:t>d</w:t>
      </w:r>
      <w:r w:rsidR="234F234C" w:rsidRPr="66A1DF9F">
        <w:t xml:space="preserve"> to over 70 percent of GDP in 2018</w:t>
      </w:r>
      <w:r w:rsidR="7ADF4D26" w:rsidRPr="00CD3D9C">
        <w:rPr>
          <w:szCs w:val="20"/>
        </w:rPr>
        <w:t>.</w:t>
      </w:r>
      <w:r w:rsidR="00DC335A" w:rsidRPr="66A1DF9F">
        <w:rPr>
          <w:rStyle w:val="FootnoteReference"/>
        </w:rPr>
        <w:footnoteReference w:id="5"/>
      </w:r>
      <w:r w:rsidR="234F234C" w:rsidRPr="66A1DF9F">
        <w:t xml:space="preserve"> The IMF debt sustainability assessment categorizes Maldives </w:t>
      </w:r>
      <w:r w:rsidR="78545CC2" w:rsidRPr="66A1DF9F">
        <w:t>as</w:t>
      </w:r>
      <w:r w:rsidR="78545CC2" w:rsidRPr="00CD3D9C">
        <w:rPr>
          <w:szCs w:val="20"/>
        </w:rPr>
        <w:t xml:space="preserve"> </w:t>
      </w:r>
      <w:r w:rsidR="78545CC2" w:rsidRPr="66A1DF9F">
        <w:t>having</w:t>
      </w:r>
      <w:r w:rsidR="234F234C" w:rsidRPr="66A1DF9F">
        <w:t xml:space="preserve"> a high risk of debt distress</w:t>
      </w:r>
      <w:r w:rsidR="27E277F5" w:rsidRPr="00CD3D9C">
        <w:rPr>
          <w:szCs w:val="20"/>
        </w:rPr>
        <w:t xml:space="preserve">. </w:t>
      </w:r>
      <w:r w:rsidR="204424B9" w:rsidRPr="66A1DF9F">
        <w:t>The impact of the Covid-19 crisis will</w:t>
      </w:r>
      <w:r w:rsidR="575345A5" w:rsidRPr="66A1DF9F">
        <w:t xml:space="preserve"> worsen the medium-term fiscal risks as projected tourism sector revenues are likely to fall</w:t>
      </w:r>
      <w:r w:rsidR="240099C6" w:rsidRPr="66A1DF9F">
        <w:t>. In addition to the tightening fiscal space, the p</w:t>
      </w:r>
      <w:r w:rsidR="26E18D52" w:rsidRPr="66A1DF9F">
        <w:t>ublic sector spending is</w:t>
      </w:r>
      <w:r w:rsidR="36A39B8B" w:rsidRPr="66A1DF9F">
        <w:t xml:space="preserve"> characterized</w:t>
      </w:r>
      <w:r w:rsidR="02A4DB5E" w:rsidRPr="66A1DF9F">
        <w:t xml:space="preserve"> by</w:t>
      </w:r>
      <w:r w:rsidR="36A39B8B" w:rsidRPr="66A1DF9F">
        <w:t xml:space="preserve"> inefficiencie</w:t>
      </w:r>
      <w:r w:rsidR="575345A5" w:rsidRPr="66A1DF9F">
        <w:t>s</w:t>
      </w:r>
      <w:r w:rsidR="72B8DD34" w:rsidRPr="66A1DF9F">
        <w:t xml:space="preserve"> which impacts service delivery</w:t>
      </w:r>
      <w:r w:rsidR="36A39B8B" w:rsidRPr="00CD3D9C">
        <w:rPr>
          <w:szCs w:val="20"/>
        </w:rPr>
        <w:t>.</w:t>
      </w:r>
      <w:r w:rsidR="7ADF4D26" w:rsidRPr="66A1DF9F">
        <w:t xml:space="preserve"> For example, </w:t>
      </w:r>
      <w:r w:rsidR="7ECEA4F9" w:rsidRPr="66A1DF9F">
        <w:t xml:space="preserve">Maldives spends 10% </w:t>
      </w:r>
      <w:r w:rsidR="204424B9" w:rsidRPr="66A1DF9F">
        <w:t xml:space="preserve">of the </w:t>
      </w:r>
      <w:r w:rsidR="7ECEA4F9" w:rsidRPr="66A1DF9F">
        <w:t>GDP o</w:t>
      </w:r>
      <w:r w:rsidR="461DC8F4" w:rsidRPr="66A1DF9F">
        <w:t>n</w:t>
      </w:r>
      <w:r w:rsidR="7ECEA4F9" w:rsidRPr="66A1DF9F">
        <w:t xml:space="preserve"> health but public health programmes </w:t>
      </w:r>
      <w:r w:rsidR="204424B9" w:rsidRPr="66A1DF9F">
        <w:t>continue to be</w:t>
      </w:r>
      <w:r w:rsidR="7ECEA4F9" w:rsidRPr="66A1DF9F">
        <w:t xml:space="preserve"> underfunded</w:t>
      </w:r>
      <w:r w:rsidR="78545CC2">
        <w:rPr>
          <w:szCs w:val="20"/>
        </w:rPr>
        <w:t>,</w:t>
      </w:r>
      <w:r w:rsidR="461DC8F4" w:rsidRPr="66A1DF9F">
        <w:t xml:space="preserve"> and the health expenditure for preventive care is less than 1%. The</w:t>
      </w:r>
      <w:r w:rsidR="7ADF4D26" w:rsidRPr="66A1DF9F">
        <w:t xml:space="preserve"> health expenditure review led by WHO demonstrated </w:t>
      </w:r>
      <w:r w:rsidR="7ADF4D26" w:rsidRPr="66A1DF9F">
        <w:lastRenderedPageBreak/>
        <w:t>major inefficiencies in pharmaceutical procurement</w:t>
      </w:r>
      <w:r w:rsidR="123BBD51" w:rsidRPr="00CD3D9C">
        <w:rPr>
          <w:szCs w:val="20"/>
        </w:rPr>
        <w:t xml:space="preserve"> (</w:t>
      </w:r>
      <w:r w:rsidR="7ADF4D26" w:rsidRPr="66A1DF9F">
        <w:t>pharmaceuticals</w:t>
      </w:r>
      <w:r w:rsidR="78545CC2" w:rsidRPr="66A1DF9F">
        <w:t xml:space="preserve"> spending</w:t>
      </w:r>
      <w:r w:rsidR="7ADF4D26" w:rsidRPr="00CD3D9C">
        <w:rPr>
          <w:szCs w:val="20"/>
        </w:rPr>
        <w:t xml:space="preserve"> </w:t>
      </w:r>
      <w:r w:rsidR="72B8DD34" w:rsidRPr="66A1DF9F">
        <w:t>as a share of overall health sector spending has increased from</w:t>
      </w:r>
      <w:r w:rsidR="7ADF4D26" w:rsidRPr="66A1DF9F">
        <w:t xml:space="preserve"> 17%</w:t>
      </w:r>
      <w:r w:rsidR="72B8DD34" w:rsidRPr="66A1DF9F">
        <w:t xml:space="preserve"> in</w:t>
      </w:r>
      <w:r w:rsidR="7ADF4D26" w:rsidRPr="66A1DF9F">
        <w:t xml:space="preserve"> 2011 to 22% in 2015 and to 32% in 2017</w:t>
      </w:r>
      <w:r w:rsidR="123BBD51" w:rsidRPr="00CD3D9C">
        <w:rPr>
          <w:szCs w:val="20"/>
        </w:rPr>
        <w:t>)</w:t>
      </w:r>
      <w:r w:rsidR="7ADF4D26" w:rsidRPr="66A1DF9F">
        <w:t xml:space="preserve">. Similarly, recent evaluations of key social protection schemes by UNICEF show that all schemes fail to reach </w:t>
      </w:r>
      <w:r w:rsidR="051FDD9A" w:rsidRPr="66A1DF9F">
        <w:t>their</w:t>
      </w:r>
      <w:r w:rsidR="7ADF4D26" w:rsidRPr="66A1DF9F">
        <w:t xml:space="preserve"> intended beneficiaries</w:t>
      </w:r>
      <w:r w:rsidR="240099C6" w:rsidRPr="66A1DF9F">
        <w:t xml:space="preserve"> and that</w:t>
      </w:r>
      <w:r w:rsidR="7ADF4D26" w:rsidRPr="66A1DF9F">
        <w:t xml:space="preserve"> 75 percent of the vulnerable population </w:t>
      </w:r>
      <w:r w:rsidR="051FDD9A" w:rsidRPr="66A1DF9F">
        <w:t xml:space="preserve">are </w:t>
      </w:r>
      <w:r w:rsidR="7ADF4D26" w:rsidRPr="66A1DF9F">
        <w:t>not benefiting from the schemes</w:t>
      </w:r>
      <w:r w:rsidR="1FFFFA27" w:rsidRPr="00CD3D9C">
        <w:rPr>
          <w:szCs w:val="20"/>
        </w:rPr>
        <w:t xml:space="preserve">. </w:t>
      </w:r>
      <w:r w:rsidR="575345A5" w:rsidRPr="66A1DF9F">
        <w:t>Another</w:t>
      </w:r>
      <w:r w:rsidR="2FD0C355" w:rsidRPr="66A1DF9F">
        <w:t xml:space="preserve"> problem in public </w:t>
      </w:r>
      <w:r w:rsidR="123BBD51" w:rsidRPr="66A1DF9F">
        <w:t xml:space="preserve">sector </w:t>
      </w:r>
      <w:r w:rsidR="2FD0C355" w:rsidRPr="66A1DF9F">
        <w:t xml:space="preserve">finance is </w:t>
      </w:r>
      <w:r w:rsidR="123BBD51" w:rsidRPr="66A1DF9F">
        <w:t>the practice of line budgeting which</w:t>
      </w:r>
      <w:r w:rsidR="075CDC43" w:rsidRPr="00CD3D9C">
        <w:rPr>
          <w:szCs w:val="20"/>
        </w:rPr>
        <w:t xml:space="preserve"> </w:t>
      </w:r>
      <w:r w:rsidR="123BBD51" w:rsidRPr="66A1DF9F">
        <w:t>limits</w:t>
      </w:r>
      <w:r w:rsidR="075CDC43" w:rsidRPr="66A1DF9F">
        <w:t xml:space="preserve"> budget tracking </w:t>
      </w:r>
      <w:r w:rsidR="123BBD51" w:rsidRPr="66A1DF9F">
        <w:t>and</w:t>
      </w:r>
      <w:r w:rsidR="075CDC43" w:rsidRPr="00CD3D9C">
        <w:rPr>
          <w:szCs w:val="20"/>
        </w:rPr>
        <w:t xml:space="preserve"> </w:t>
      </w:r>
      <w:r w:rsidR="240099C6" w:rsidRPr="66A1DF9F">
        <w:t>budget scrutiny for</w:t>
      </w:r>
      <w:r w:rsidR="123BBD51" w:rsidRPr="66A1DF9F">
        <w:t xml:space="preserve"> effectiveness</w:t>
      </w:r>
      <w:r w:rsidR="7ECEA4F9">
        <w:rPr>
          <w:szCs w:val="20"/>
        </w:rPr>
        <w:t xml:space="preserve"> </w:t>
      </w:r>
      <w:r w:rsidR="6F66BB54" w:rsidRPr="66A1DF9F">
        <w:t>and</w:t>
      </w:r>
      <w:r w:rsidR="7ECEA4F9">
        <w:rPr>
          <w:szCs w:val="20"/>
        </w:rPr>
        <w:t xml:space="preserve"> </w:t>
      </w:r>
      <w:r w:rsidR="7ECEA4F9" w:rsidRPr="66A1DF9F">
        <w:t>gender responsiveness</w:t>
      </w:r>
      <w:r w:rsidR="075CDC43" w:rsidRPr="00CD3D9C">
        <w:rPr>
          <w:szCs w:val="20"/>
        </w:rPr>
        <w:t xml:space="preserve">. </w:t>
      </w:r>
      <w:r w:rsidR="204424B9" w:rsidRPr="66A1DF9F">
        <w:t>For example, a recent exercise showed that national budget</w:t>
      </w:r>
      <w:r w:rsidR="075CDC43" w:rsidRPr="66A1DF9F">
        <w:t xml:space="preserve"> account</w:t>
      </w:r>
      <w:r w:rsidR="204424B9" w:rsidRPr="66A1DF9F">
        <w:t>ed</w:t>
      </w:r>
      <w:r w:rsidR="075CDC43" w:rsidRPr="66A1DF9F">
        <w:t xml:space="preserve"> for only</w:t>
      </w:r>
      <w:r w:rsidR="13CA3759" w:rsidRPr="00CD3D9C">
        <w:rPr>
          <w:szCs w:val="20"/>
        </w:rPr>
        <w:t xml:space="preserve"> </w:t>
      </w:r>
      <w:r w:rsidR="075CDC43" w:rsidRPr="66A1DF9F">
        <w:t>35% of</w:t>
      </w:r>
      <w:r w:rsidR="204424B9" w:rsidRPr="66A1DF9F">
        <w:t xml:space="preserve"> total</w:t>
      </w:r>
      <w:r w:rsidR="075CDC43" w:rsidRPr="66A1DF9F">
        <w:t xml:space="preserve"> climate financing investments.</w:t>
      </w:r>
      <w:r w:rsidR="0033777A" w:rsidRPr="66A1DF9F">
        <w:rPr>
          <w:rStyle w:val="FootnoteReference"/>
        </w:rPr>
        <w:footnoteReference w:id="6"/>
      </w:r>
      <w:r w:rsidR="075CDC43" w:rsidRPr="00CD3D9C">
        <w:rPr>
          <w:szCs w:val="20"/>
        </w:rPr>
        <w:t xml:space="preserve"> </w:t>
      </w:r>
      <w:r w:rsidR="123BBD51" w:rsidRPr="66A1DF9F">
        <w:t>This</w:t>
      </w:r>
      <w:r w:rsidR="075CDC43" w:rsidRPr="66A1DF9F">
        <w:t xml:space="preserve"> limits the </w:t>
      </w:r>
      <w:r w:rsidR="123BBD51" w:rsidRPr="66A1DF9F">
        <w:t>G</w:t>
      </w:r>
      <w:r w:rsidR="075CDC43" w:rsidRPr="66A1DF9F">
        <w:t>overnment</w:t>
      </w:r>
      <w:r w:rsidR="2FD0C355" w:rsidRPr="66A1DF9F">
        <w:t>’s</w:t>
      </w:r>
      <w:r w:rsidR="075CDC43" w:rsidRPr="66A1DF9F">
        <w:t xml:space="preserve"> ability to advocate and leverage climate finance from other sources.</w:t>
      </w:r>
      <w:r w:rsidR="1FFFFA27" w:rsidRPr="00CD3D9C">
        <w:rPr>
          <w:szCs w:val="20"/>
        </w:rPr>
        <w:t xml:space="preserve"> </w:t>
      </w:r>
    </w:p>
    <w:p w14:paraId="7E9EB707" w14:textId="24DB828A" w:rsidR="006663A4" w:rsidRPr="00CD3D9C" w:rsidRDefault="006663A4" w:rsidP="00DF0228">
      <w:pPr>
        <w:rPr>
          <w:szCs w:val="20"/>
        </w:rPr>
      </w:pPr>
    </w:p>
    <w:p w14:paraId="4D5B6A8B" w14:textId="4BD6B213" w:rsidR="00337773" w:rsidRPr="00CD3D9C" w:rsidRDefault="00411763" w:rsidP="00DF0228">
      <w:pPr>
        <w:rPr>
          <w:szCs w:val="20"/>
        </w:rPr>
      </w:pPr>
      <w:r w:rsidRPr="00CD3D9C">
        <w:rPr>
          <w:b/>
          <w:bCs/>
          <w:szCs w:val="20"/>
        </w:rPr>
        <w:t>International public finance:</w:t>
      </w:r>
      <w:r w:rsidRPr="00CD3D9C">
        <w:rPr>
          <w:szCs w:val="20"/>
        </w:rPr>
        <w:t xml:space="preserve"> </w:t>
      </w:r>
      <w:r w:rsidR="001D33C1" w:rsidRPr="00CD3D9C">
        <w:rPr>
          <w:szCs w:val="20"/>
        </w:rPr>
        <w:t xml:space="preserve">Since </w:t>
      </w:r>
      <w:r w:rsidR="009E2325" w:rsidRPr="00CD3D9C">
        <w:rPr>
          <w:szCs w:val="20"/>
        </w:rPr>
        <w:t xml:space="preserve">the </w:t>
      </w:r>
      <w:r w:rsidR="001D33C1" w:rsidRPr="00CD3D9C">
        <w:rPr>
          <w:szCs w:val="20"/>
        </w:rPr>
        <w:t>Maldives</w:t>
      </w:r>
      <w:r w:rsidR="000E282A" w:rsidRPr="00CD3D9C">
        <w:rPr>
          <w:szCs w:val="20"/>
        </w:rPr>
        <w:t>’ graduation</w:t>
      </w:r>
      <w:r w:rsidR="001D33C1" w:rsidRPr="00CD3D9C">
        <w:rPr>
          <w:szCs w:val="20"/>
        </w:rPr>
        <w:t xml:space="preserve"> to </w:t>
      </w:r>
      <w:r w:rsidR="009E2325" w:rsidRPr="00CD3D9C">
        <w:rPr>
          <w:szCs w:val="20"/>
        </w:rPr>
        <w:t>MIC</w:t>
      </w:r>
      <w:r w:rsidR="001D33C1" w:rsidRPr="00CD3D9C">
        <w:rPr>
          <w:szCs w:val="20"/>
        </w:rPr>
        <w:t xml:space="preserve"> status in 2011, the Overseas Development Assistance (ODA) flows have fluctuated. In 2010, Maldives received a net ODA of US$ 111.7 million</w:t>
      </w:r>
      <w:r w:rsidR="009E2325" w:rsidRPr="00CD3D9C">
        <w:rPr>
          <w:szCs w:val="20"/>
        </w:rPr>
        <w:t>.</w:t>
      </w:r>
      <w:r w:rsidR="009E2325" w:rsidRPr="00CD3D9C">
        <w:rPr>
          <w:rStyle w:val="FootnoteReference"/>
          <w:szCs w:val="20"/>
        </w:rPr>
        <w:t xml:space="preserve"> </w:t>
      </w:r>
      <w:r w:rsidR="009E2325" w:rsidRPr="00CD3D9C">
        <w:rPr>
          <w:rStyle w:val="FootnoteReference"/>
          <w:szCs w:val="20"/>
        </w:rPr>
        <w:footnoteReference w:id="7"/>
      </w:r>
      <w:r w:rsidR="009E2325" w:rsidRPr="00CD3D9C">
        <w:rPr>
          <w:szCs w:val="20"/>
        </w:rPr>
        <w:t xml:space="preserve"> The net ODA dropped to US$ 22.7 million in 2016 but it has gradually increased since then</w:t>
      </w:r>
      <w:r w:rsidR="006F6CB4">
        <w:rPr>
          <w:szCs w:val="20"/>
        </w:rPr>
        <w:t>,</w:t>
      </w:r>
      <w:r w:rsidR="009E2325" w:rsidRPr="00CD3D9C">
        <w:rPr>
          <w:szCs w:val="20"/>
        </w:rPr>
        <w:t xml:space="preserve"> and in 2018 </w:t>
      </w:r>
      <w:r w:rsidR="006F6CB4">
        <w:rPr>
          <w:szCs w:val="20"/>
        </w:rPr>
        <w:t xml:space="preserve">reached </w:t>
      </w:r>
      <w:r w:rsidR="009E2325" w:rsidRPr="00CD3D9C">
        <w:rPr>
          <w:szCs w:val="20"/>
        </w:rPr>
        <w:t>US$ 119.1 million.</w:t>
      </w:r>
      <w:r w:rsidR="009E2325" w:rsidRPr="00CD3D9C">
        <w:rPr>
          <w:rStyle w:val="FootnoteReference"/>
          <w:szCs w:val="20"/>
        </w:rPr>
        <w:footnoteReference w:id="8"/>
      </w:r>
      <w:r w:rsidR="009E2325" w:rsidRPr="00CD3D9C">
        <w:rPr>
          <w:szCs w:val="20"/>
        </w:rPr>
        <w:t xml:space="preserve"> </w:t>
      </w:r>
      <w:r w:rsidR="00330157" w:rsidRPr="00CD3D9C">
        <w:rPr>
          <w:szCs w:val="20"/>
        </w:rPr>
        <w:t xml:space="preserve">These trends show </w:t>
      </w:r>
      <w:r w:rsidR="006F6CB4">
        <w:rPr>
          <w:szCs w:val="20"/>
        </w:rPr>
        <w:t xml:space="preserve">the </w:t>
      </w:r>
      <w:r w:rsidR="00330157" w:rsidRPr="00CD3D9C">
        <w:rPr>
          <w:szCs w:val="20"/>
        </w:rPr>
        <w:t xml:space="preserve">uncertainties associated with international public finance flows. </w:t>
      </w:r>
    </w:p>
    <w:p w14:paraId="14135DE4" w14:textId="4605B670" w:rsidR="001D33C1" w:rsidRPr="00CD3D9C" w:rsidRDefault="001D33C1" w:rsidP="00DF0228">
      <w:pPr>
        <w:rPr>
          <w:szCs w:val="20"/>
        </w:rPr>
      </w:pPr>
    </w:p>
    <w:p w14:paraId="1A65A415" w14:textId="067A6549" w:rsidR="009A0A7E" w:rsidRPr="00CD3D9C" w:rsidRDefault="00411763" w:rsidP="00DF0228">
      <w:pPr>
        <w:rPr>
          <w:szCs w:val="20"/>
        </w:rPr>
      </w:pPr>
      <w:r w:rsidRPr="00CD3D9C">
        <w:rPr>
          <w:b/>
          <w:bCs/>
          <w:szCs w:val="20"/>
        </w:rPr>
        <w:t>Private sector resources:</w:t>
      </w:r>
      <w:r w:rsidRPr="00CD3D9C">
        <w:rPr>
          <w:szCs w:val="20"/>
        </w:rPr>
        <w:t xml:space="preserve"> </w:t>
      </w:r>
      <w:r w:rsidR="001D33C1" w:rsidRPr="00CD3D9C">
        <w:rPr>
          <w:szCs w:val="20"/>
        </w:rPr>
        <w:t xml:space="preserve">The private sector </w:t>
      </w:r>
      <w:r w:rsidR="00F0041B">
        <w:rPr>
          <w:szCs w:val="20"/>
        </w:rPr>
        <w:t>and state</w:t>
      </w:r>
      <w:r w:rsidR="00FB5D1E">
        <w:rPr>
          <w:szCs w:val="20"/>
        </w:rPr>
        <w:t>-</w:t>
      </w:r>
      <w:r w:rsidR="00F0041B">
        <w:rPr>
          <w:szCs w:val="20"/>
        </w:rPr>
        <w:t>owned enterprises (SOEs)</w:t>
      </w:r>
      <w:r w:rsidR="001D33C1" w:rsidRPr="00CD3D9C">
        <w:rPr>
          <w:szCs w:val="20"/>
        </w:rPr>
        <w:t xml:space="preserve"> resource base remains largely untapped with respect to </w:t>
      </w:r>
      <w:r w:rsidR="00F0041B">
        <w:rPr>
          <w:szCs w:val="20"/>
        </w:rPr>
        <w:t>SDG</w:t>
      </w:r>
      <w:r w:rsidR="00F0041B" w:rsidRPr="00CD3D9C">
        <w:rPr>
          <w:szCs w:val="20"/>
        </w:rPr>
        <w:t xml:space="preserve"> </w:t>
      </w:r>
      <w:r w:rsidR="001D33C1" w:rsidRPr="00CD3D9C">
        <w:rPr>
          <w:szCs w:val="20"/>
        </w:rPr>
        <w:t>financing</w:t>
      </w:r>
      <w:r w:rsidR="00FB5D1E">
        <w:rPr>
          <w:szCs w:val="20"/>
        </w:rPr>
        <w:t xml:space="preserve">. </w:t>
      </w:r>
      <w:r w:rsidR="00520AC1" w:rsidRPr="00CD3D9C">
        <w:rPr>
          <w:szCs w:val="20"/>
        </w:rPr>
        <w:t xml:space="preserve">Initial consultations with private sector stakeholders for the ongoing </w:t>
      </w:r>
      <w:r w:rsidR="00FB5D1E">
        <w:rPr>
          <w:szCs w:val="20"/>
        </w:rPr>
        <w:t>Development Finance Assessment (DFA)</w:t>
      </w:r>
      <w:r w:rsidR="00C72597" w:rsidRPr="00CD3D9C">
        <w:rPr>
          <w:szCs w:val="20"/>
        </w:rPr>
        <w:t xml:space="preserve"> </w:t>
      </w:r>
      <w:r w:rsidR="00520AC1" w:rsidRPr="00CD3D9C">
        <w:rPr>
          <w:szCs w:val="20"/>
        </w:rPr>
        <w:t xml:space="preserve">indicated that </w:t>
      </w:r>
      <w:r w:rsidR="000E282A" w:rsidRPr="00CD3D9C">
        <w:rPr>
          <w:szCs w:val="20"/>
        </w:rPr>
        <w:t xml:space="preserve">the </w:t>
      </w:r>
      <w:r w:rsidR="00520AC1" w:rsidRPr="00CD3D9C">
        <w:rPr>
          <w:szCs w:val="20"/>
        </w:rPr>
        <w:t xml:space="preserve">private sector role in </w:t>
      </w:r>
      <w:r w:rsidR="00F634CA" w:rsidRPr="00CD3D9C">
        <w:rPr>
          <w:szCs w:val="20"/>
        </w:rPr>
        <w:t xml:space="preserve">development finance </w:t>
      </w:r>
      <w:r w:rsidR="00520AC1" w:rsidRPr="00CD3D9C">
        <w:rPr>
          <w:szCs w:val="20"/>
        </w:rPr>
        <w:t xml:space="preserve">is limited due to challenges that affect investments in </w:t>
      </w:r>
      <w:r w:rsidR="0087096D" w:rsidRPr="00CD3D9C">
        <w:rPr>
          <w:szCs w:val="20"/>
        </w:rPr>
        <w:t>general</w:t>
      </w:r>
      <w:r w:rsidR="006F6CB4">
        <w:rPr>
          <w:szCs w:val="20"/>
        </w:rPr>
        <w:t>:</w:t>
      </w:r>
      <w:r w:rsidR="00520AC1" w:rsidRPr="00CD3D9C">
        <w:rPr>
          <w:szCs w:val="20"/>
        </w:rPr>
        <w:t xml:space="preserve"> limited legal protection, administrative red-tape</w:t>
      </w:r>
      <w:r w:rsidR="000E282A" w:rsidRPr="00CD3D9C">
        <w:rPr>
          <w:szCs w:val="20"/>
        </w:rPr>
        <w:t>,</w:t>
      </w:r>
      <w:r w:rsidR="00520AC1" w:rsidRPr="00CD3D9C">
        <w:rPr>
          <w:szCs w:val="20"/>
        </w:rPr>
        <w:t xml:space="preserve"> and unclear messaging </w:t>
      </w:r>
      <w:r w:rsidR="00FB5D1E">
        <w:rPr>
          <w:szCs w:val="20"/>
        </w:rPr>
        <w:t xml:space="preserve">on </w:t>
      </w:r>
      <w:r w:rsidR="00AC6385" w:rsidRPr="00CD3D9C">
        <w:rPr>
          <w:szCs w:val="20"/>
        </w:rPr>
        <w:t>investment priorities</w:t>
      </w:r>
      <w:r w:rsidR="00FB5D1E">
        <w:rPr>
          <w:szCs w:val="20"/>
        </w:rPr>
        <w:t xml:space="preserve"> of the Government</w:t>
      </w:r>
      <w:r w:rsidR="00520AC1" w:rsidRPr="00CD3D9C">
        <w:rPr>
          <w:szCs w:val="20"/>
        </w:rPr>
        <w:t xml:space="preserve">. </w:t>
      </w:r>
      <w:r w:rsidR="000E2D14">
        <w:rPr>
          <w:szCs w:val="20"/>
        </w:rPr>
        <w:t xml:space="preserve">As for SDGs financing, they indicated the </w:t>
      </w:r>
      <w:r w:rsidR="00520AC1" w:rsidRPr="00CD3D9C">
        <w:rPr>
          <w:szCs w:val="20"/>
        </w:rPr>
        <w:t>lack of</w:t>
      </w:r>
      <w:r w:rsidR="00A558C9" w:rsidRPr="00CD3D9C">
        <w:rPr>
          <w:szCs w:val="20"/>
        </w:rPr>
        <w:t xml:space="preserve"> articulation of </w:t>
      </w:r>
      <w:r w:rsidR="00FB5D1E">
        <w:rPr>
          <w:szCs w:val="20"/>
        </w:rPr>
        <w:t>a</w:t>
      </w:r>
      <w:r w:rsidR="00330157" w:rsidRPr="00CD3D9C">
        <w:rPr>
          <w:szCs w:val="20"/>
        </w:rPr>
        <w:t xml:space="preserve"> portfolio</w:t>
      </w:r>
      <w:r w:rsidR="00A558C9" w:rsidRPr="00CD3D9C">
        <w:rPr>
          <w:szCs w:val="20"/>
        </w:rPr>
        <w:t xml:space="preserve"> targeted for</w:t>
      </w:r>
      <w:r w:rsidR="00520AC1" w:rsidRPr="00CD3D9C">
        <w:rPr>
          <w:szCs w:val="20"/>
        </w:rPr>
        <w:t xml:space="preserve"> private financing, lack of incentives and innovative instruments tested to attract private capital</w:t>
      </w:r>
      <w:r w:rsidR="000E282A" w:rsidRPr="00CD3D9C">
        <w:rPr>
          <w:szCs w:val="20"/>
        </w:rPr>
        <w:t>,</w:t>
      </w:r>
      <w:r w:rsidR="009F3F27" w:rsidRPr="00CD3D9C">
        <w:rPr>
          <w:szCs w:val="20"/>
        </w:rPr>
        <w:t xml:space="preserve"> </w:t>
      </w:r>
      <w:r w:rsidR="00AC6385" w:rsidRPr="00CD3D9C">
        <w:rPr>
          <w:szCs w:val="20"/>
        </w:rPr>
        <w:t xml:space="preserve">and the limited platforms for </w:t>
      </w:r>
      <w:r w:rsidR="007506F3" w:rsidRPr="00CD3D9C">
        <w:rPr>
          <w:szCs w:val="20"/>
        </w:rPr>
        <w:t xml:space="preserve">public-private </w:t>
      </w:r>
      <w:r w:rsidR="00AC6385" w:rsidRPr="00CD3D9C">
        <w:rPr>
          <w:szCs w:val="20"/>
        </w:rPr>
        <w:t xml:space="preserve">dialogue. The latter relates to the limited effectiveness of </w:t>
      </w:r>
      <w:r w:rsidR="00F634CA" w:rsidRPr="00CD3D9C">
        <w:rPr>
          <w:szCs w:val="20"/>
        </w:rPr>
        <w:t>existing</w:t>
      </w:r>
      <w:r w:rsidR="00AC6385" w:rsidRPr="00CD3D9C">
        <w:rPr>
          <w:szCs w:val="20"/>
        </w:rPr>
        <w:t xml:space="preserve"> </w:t>
      </w:r>
      <w:r w:rsidR="00A558C9" w:rsidRPr="00CD3D9C">
        <w:rPr>
          <w:szCs w:val="20"/>
        </w:rPr>
        <w:t xml:space="preserve">government-led </w:t>
      </w:r>
      <w:r w:rsidR="00AC6385" w:rsidRPr="00CD3D9C">
        <w:rPr>
          <w:szCs w:val="20"/>
        </w:rPr>
        <w:t xml:space="preserve">bodies </w:t>
      </w:r>
      <w:r w:rsidR="00FB5D1E">
        <w:rPr>
          <w:szCs w:val="20"/>
        </w:rPr>
        <w:t xml:space="preserve">such as </w:t>
      </w:r>
      <w:r w:rsidR="00AC6385" w:rsidRPr="00CD3D9C">
        <w:rPr>
          <w:szCs w:val="20"/>
        </w:rPr>
        <w:t xml:space="preserve">the business council, trade facilitation committee and the </w:t>
      </w:r>
      <w:r w:rsidR="00837257" w:rsidRPr="00CD3D9C">
        <w:rPr>
          <w:szCs w:val="20"/>
        </w:rPr>
        <w:t>Public Private Partnership (PPP)</w:t>
      </w:r>
      <w:r w:rsidR="00AC6385" w:rsidRPr="00CD3D9C">
        <w:rPr>
          <w:szCs w:val="20"/>
        </w:rPr>
        <w:t xml:space="preserve"> steering committee</w:t>
      </w:r>
      <w:r w:rsidR="000E2D14">
        <w:rPr>
          <w:szCs w:val="20"/>
        </w:rPr>
        <w:t>.</w:t>
      </w:r>
    </w:p>
    <w:p w14:paraId="4283725C" w14:textId="77777777" w:rsidR="00AC6385" w:rsidRPr="00CD3D9C" w:rsidRDefault="00AC6385" w:rsidP="00DF0228">
      <w:pPr>
        <w:rPr>
          <w:szCs w:val="20"/>
        </w:rPr>
      </w:pPr>
    </w:p>
    <w:p w14:paraId="45B2D308" w14:textId="301D6B25" w:rsidR="009A0A7E" w:rsidRPr="00CD3D9C" w:rsidRDefault="009A0A7E" w:rsidP="00DF0228">
      <w:pPr>
        <w:pStyle w:val="ListParagraph"/>
        <w:numPr>
          <w:ilvl w:val="0"/>
          <w:numId w:val="36"/>
        </w:numPr>
        <w:rPr>
          <w:b/>
          <w:bCs/>
          <w:szCs w:val="20"/>
        </w:rPr>
      </w:pPr>
      <w:r w:rsidRPr="00CD3D9C">
        <w:rPr>
          <w:b/>
          <w:bCs/>
          <w:szCs w:val="20"/>
        </w:rPr>
        <w:t xml:space="preserve">Lack of alignment of financing with national development and </w:t>
      </w:r>
      <w:r w:rsidR="00411763" w:rsidRPr="00CD3D9C">
        <w:rPr>
          <w:b/>
          <w:bCs/>
          <w:szCs w:val="20"/>
        </w:rPr>
        <w:t>SDG priorities</w:t>
      </w:r>
    </w:p>
    <w:p w14:paraId="73A44567" w14:textId="77777777" w:rsidR="00411763" w:rsidRPr="00CD3D9C" w:rsidRDefault="00411763" w:rsidP="00DF0228">
      <w:pPr>
        <w:pStyle w:val="ListParagraph"/>
        <w:rPr>
          <w:b/>
          <w:bCs/>
          <w:szCs w:val="20"/>
        </w:rPr>
      </w:pPr>
    </w:p>
    <w:p w14:paraId="1DC21821" w14:textId="3D6D243D" w:rsidR="00C72597" w:rsidRPr="00CD3D9C" w:rsidRDefault="799A2691" w:rsidP="00DF0228">
      <w:r w:rsidRPr="66A1DF9F">
        <w:t>At the time of the launch of the</w:t>
      </w:r>
      <w:r w:rsidR="575345A5" w:rsidRPr="66A1DF9F">
        <w:t xml:space="preserve"> SDGs </w:t>
      </w:r>
      <w:r w:rsidRPr="66A1DF9F">
        <w:t>agenda</w:t>
      </w:r>
      <w:r w:rsidR="575345A5" w:rsidRPr="66A1DF9F">
        <w:t xml:space="preserve"> in 2015</w:t>
      </w:r>
      <w:r w:rsidRPr="66A1DF9F">
        <w:t xml:space="preserve"> and in the period</w:t>
      </w:r>
      <w:r w:rsidR="575345A5" w:rsidRPr="66A1DF9F">
        <w:t xml:space="preserve"> up to 201</w:t>
      </w:r>
      <w:r w:rsidR="7AB00522" w:rsidRPr="66A1DF9F">
        <w:t>9</w:t>
      </w:r>
      <w:r w:rsidR="7FF9C5E9" w:rsidRPr="66A1DF9F">
        <w:t xml:space="preserve">, the Government of Maldives </w:t>
      </w:r>
      <w:r w:rsidRPr="66A1DF9F">
        <w:t>did not have</w:t>
      </w:r>
      <w:r w:rsidR="7FF9C5E9" w:rsidRPr="66A1DF9F">
        <w:t xml:space="preserve"> a national development plan</w:t>
      </w:r>
      <w:r w:rsidRPr="66A1DF9F">
        <w:t xml:space="preserve"> which</w:t>
      </w:r>
      <w:r w:rsidR="7FF9C5E9" w:rsidRPr="66A1DF9F">
        <w:t xml:space="preserve"> undermined </w:t>
      </w:r>
      <w:r w:rsidR="7CBCF50A" w:rsidRPr="66A1DF9F">
        <w:t>efforts to</w:t>
      </w:r>
      <w:r w:rsidR="7FF9C5E9" w:rsidRPr="66A1DF9F">
        <w:t xml:space="preserve"> identify </w:t>
      </w:r>
      <w:r w:rsidR="45123EAD" w:rsidRPr="66A1DF9F">
        <w:t xml:space="preserve">and or align </w:t>
      </w:r>
      <w:r w:rsidR="24868A27" w:rsidRPr="66A1DF9F">
        <w:t xml:space="preserve">national </w:t>
      </w:r>
      <w:r w:rsidR="7FF9C5E9" w:rsidRPr="66A1DF9F">
        <w:t>SDG priorities</w:t>
      </w:r>
      <w:r w:rsidR="01F245C8" w:rsidRPr="00CD3D9C">
        <w:rPr>
          <w:szCs w:val="20"/>
        </w:rPr>
        <w:t>.</w:t>
      </w:r>
      <w:r w:rsidR="2FD0C355" w:rsidRPr="00CD3D9C">
        <w:rPr>
          <w:szCs w:val="20"/>
        </w:rPr>
        <w:t xml:space="preserve"> </w:t>
      </w:r>
      <w:r w:rsidRPr="66A1DF9F">
        <w:t xml:space="preserve">A performance audit by the Auditor General’s Office noted that the overall progress on the preparedness for implementation of SDGs was slow and recommended that the </w:t>
      </w:r>
      <w:r w:rsidR="0990FA61" w:rsidRPr="66A1DF9F">
        <w:t>Government identif</w:t>
      </w:r>
      <w:r w:rsidR="5000B38C" w:rsidRPr="66A1DF9F">
        <w:t xml:space="preserve">y </w:t>
      </w:r>
      <w:r w:rsidRPr="66A1DF9F">
        <w:t>the gap between available public resources and the total amount of resources required for the implementation of SDGs.</w:t>
      </w:r>
      <w:r w:rsidRPr="00CD3D9C">
        <w:rPr>
          <w:rStyle w:val="FooterChar"/>
          <w:rFonts w:ascii="Verdana" w:hAnsi="Verdana"/>
          <w:sz w:val="20"/>
          <w:szCs w:val="20"/>
        </w:rPr>
        <w:t xml:space="preserve"> </w:t>
      </w:r>
      <w:r w:rsidR="00837257" w:rsidRPr="66A1DF9F">
        <w:rPr>
          <w:rStyle w:val="FootnoteReference"/>
        </w:rPr>
        <w:footnoteReference w:id="9"/>
      </w:r>
      <w:r w:rsidRPr="66A1DF9F">
        <w:t xml:space="preserve"> The lack of articulation of national SDG priorities and the estimation of financing needs limited</w:t>
      </w:r>
      <w:r w:rsidR="24868A27" w:rsidRPr="66A1DF9F">
        <w:t xml:space="preserve"> the scope for</w:t>
      </w:r>
      <w:r w:rsidRPr="00CD3D9C">
        <w:rPr>
          <w:szCs w:val="20"/>
        </w:rPr>
        <w:t xml:space="preserve"> </w:t>
      </w:r>
      <w:r w:rsidR="7FF9C5E9" w:rsidRPr="66A1DF9F">
        <w:t xml:space="preserve">alignment </w:t>
      </w:r>
      <w:r w:rsidR="5034666E" w:rsidRPr="66A1DF9F">
        <w:t>of</w:t>
      </w:r>
      <w:r w:rsidR="7FF9C5E9" w:rsidRPr="00CD3D9C">
        <w:rPr>
          <w:szCs w:val="20"/>
        </w:rPr>
        <w:t xml:space="preserve"> </w:t>
      </w:r>
      <w:r w:rsidR="6D4774E6" w:rsidRPr="66A1DF9F">
        <w:t>financing</w:t>
      </w:r>
      <w:r w:rsidR="70CE3D97" w:rsidRPr="00CD3D9C">
        <w:rPr>
          <w:szCs w:val="20"/>
        </w:rPr>
        <w:t xml:space="preserve"> </w:t>
      </w:r>
      <w:r w:rsidRPr="66A1DF9F">
        <w:t>with</w:t>
      </w:r>
      <w:r w:rsidR="70CE3D97" w:rsidRPr="00CD3D9C">
        <w:rPr>
          <w:szCs w:val="20"/>
        </w:rPr>
        <w:t xml:space="preserve"> </w:t>
      </w:r>
      <w:r w:rsidRPr="66A1DF9F">
        <w:t xml:space="preserve">the </w:t>
      </w:r>
      <w:r w:rsidR="70CE3D97" w:rsidRPr="66A1DF9F">
        <w:t xml:space="preserve">SDGs. </w:t>
      </w:r>
      <w:r w:rsidR="0260E41B" w:rsidRPr="66A1DF9F">
        <w:t xml:space="preserve">The current </w:t>
      </w:r>
      <w:r w:rsidR="079AF6F5" w:rsidRPr="66A1DF9F">
        <w:t>administration</w:t>
      </w:r>
      <w:r w:rsidR="0260E41B" w:rsidRPr="66A1DF9F">
        <w:t xml:space="preserve"> has developed a medium-term </w:t>
      </w:r>
      <w:r w:rsidRPr="66A1DF9F">
        <w:t>development framework</w:t>
      </w:r>
      <w:r w:rsidR="0260E41B" w:rsidRPr="66A1DF9F">
        <w:t>, the Strategic Action Plan (SAP) for the period 2019-2023</w:t>
      </w:r>
      <w:r w:rsidR="24868A27" w:rsidRPr="00CD3D9C">
        <w:rPr>
          <w:szCs w:val="20"/>
        </w:rPr>
        <w:t>.</w:t>
      </w:r>
      <w:r w:rsidR="50BF413D" w:rsidRPr="00CD3D9C">
        <w:rPr>
          <w:szCs w:val="20"/>
        </w:rPr>
        <w:t xml:space="preserve"> </w:t>
      </w:r>
      <w:r w:rsidR="24868A27" w:rsidRPr="66A1DF9F">
        <w:t>This</w:t>
      </w:r>
      <w:r w:rsidR="50BF413D" w:rsidRPr="66A1DF9F">
        <w:t xml:space="preserve"> has created a window of opportunity to revisit the country’s SDG agenda</w:t>
      </w:r>
      <w:r w:rsidR="605C9D46" w:rsidRPr="00CD3D9C">
        <w:rPr>
          <w:szCs w:val="20"/>
        </w:rPr>
        <w:t xml:space="preserve"> </w:t>
      </w:r>
      <w:r w:rsidR="0990FA61" w:rsidRPr="66A1DF9F">
        <w:t xml:space="preserve">and now taking into </w:t>
      </w:r>
      <w:r w:rsidR="09863827" w:rsidRPr="66A1DF9F">
        <w:t xml:space="preserve">account the impact of </w:t>
      </w:r>
      <w:r w:rsidR="0990FA61" w:rsidRPr="66A1DF9F">
        <w:t xml:space="preserve">Covid-19 on Maldives SDGs trajectory. </w:t>
      </w:r>
    </w:p>
    <w:p w14:paraId="3EE1F5FB" w14:textId="77777777" w:rsidR="00D76AD8" w:rsidRPr="00CD3D9C" w:rsidRDefault="00D76AD8" w:rsidP="00DF0228">
      <w:pPr>
        <w:rPr>
          <w:szCs w:val="20"/>
        </w:rPr>
      </w:pPr>
    </w:p>
    <w:p w14:paraId="4A11168D" w14:textId="0123AB1C" w:rsidR="00B340E7" w:rsidRPr="00CD3D9C" w:rsidRDefault="000E2D14" w:rsidP="00DF0228">
      <w:pPr>
        <w:rPr>
          <w:szCs w:val="20"/>
        </w:rPr>
      </w:pPr>
      <w:r>
        <w:rPr>
          <w:szCs w:val="20"/>
        </w:rPr>
        <w:t>Alignment of financing with SDGs is also weak due to the limited institutional structure</w:t>
      </w:r>
      <w:r w:rsidR="00572487">
        <w:rPr>
          <w:szCs w:val="20"/>
        </w:rPr>
        <w:t>s</w:t>
      </w:r>
      <w:r>
        <w:rPr>
          <w:szCs w:val="20"/>
        </w:rPr>
        <w:t xml:space="preserve"> and capacit</w:t>
      </w:r>
      <w:r w:rsidR="00572487">
        <w:rPr>
          <w:szCs w:val="20"/>
        </w:rPr>
        <w:t>ies</w:t>
      </w:r>
      <w:r w:rsidR="008E1DAB">
        <w:rPr>
          <w:szCs w:val="20"/>
        </w:rPr>
        <w:t xml:space="preserve"> that exists</w:t>
      </w:r>
      <w:r>
        <w:rPr>
          <w:szCs w:val="20"/>
        </w:rPr>
        <w:t xml:space="preserve"> to build coherence between </w:t>
      </w:r>
      <w:r w:rsidR="000664EB" w:rsidRPr="00CD3D9C">
        <w:rPr>
          <w:szCs w:val="20"/>
        </w:rPr>
        <w:t xml:space="preserve">financing initiatives, policies and reforms into a strategic approach that contributes to sustainable development. </w:t>
      </w:r>
      <w:r w:rsidR="008E1DAB">
        <w:rPr>
          <w:szCs w:val="20"/>
        </w:rPr>
        <w:t>Currently coordination and monitoring</w:t>
      </w:r>
      <w:r w:rsidR="000664EB" w:rsidRPr="00CD3D9C">
        <w:rPr>
          <w:szCs w:val="20"/>
        </w:rPr>
        <w:t xml:space="preserve"> of financing activities are fragmented across various ministries. The Ministry of Finance currently coordinates public finance and ODA related to International </w:t>
      </w:r>
      <w:r w:rsidR="000664EB" w:rsidRPr="00CD3D9C">
        <w:rPr>
          <w:szCs w:val="20"/>
        </w:rPr>
        <w:lastRenderedPageBreak/>
        <w:t xml:space="preserve">Financial Institutions (IFIs) and multilateral development banks (MDBs). ODA related to climate finance is directly coordinated by the Ministry of Environment. </w:t>
      </w:r>
      <w:r w:rsidR="000C1666">
        <w:rPr>
          <w:szCs w:val="20"/>
        </w:rPr>
        <w:t>Other</w:t>
      </w:r>
      <w:r w:rsidR="000664EB" w:rsidRPr="00CD3D9C">
        <w:rPr>
          <w:szCs w:val="20"/>
        </w:rPr>
        <w:t xml:space="preserve"> bilateral and multilateral ODA are coordinated by the Ministry of Foreign Affairs through its newly established </w:t>
      </w:r>
      <w:r w:rsidR="008E1DAB" w:rsidRPr="008E1DAB">
        <w:rPr>
          <w:szCs w:val="20"/>
        </w:rPr>
        <w:t>Aid Management and Coordination Committee</w:t>
      </w:r>
      <w:r w:rsidR="008E1DAB">
        <w:rPr>
          <w:szCs w:val="20"/>
        </w:rPr>
        <w:t xml:space="preserve">. </w:t>
      </w:r>
      <w:r w:rsidR="000664EB" w:rsidRPr="00CD3D9C">
        <w:rPr>
          <w:szCs w:val="20"/>
        </w:rPr>
        <w:t>Private sector development and investment promotion is led by the Ministry of Economic Development while tourism related investmen</w:t>
      </w:r>
      <w:r w:rsidR="000C1666">
        <w:rPr>
          <w:szCs w:val="20"/>
        </w:rPr>
        <w:t>ts</w:t>
      </w:r>
      <w:r w:rsidR="000664EB" w:rsidRPr="00CD3D9C">
        <w:rPr>
          <w:szCs w:val="20"/>
        </w:rPr>
        <w:t xml:space="preserve"> </w:t>
      </w:r>
      <w:r w:rsidR="000C1666">
        <w:rPr>
          <w:szCs w:val="20"/>
        </w:rPr>
        <w:t>are</w:t>
      </w:r>
      <w:r w:rsidR="000664EB" w:rsidRPr="00CD3D9C">
        <w:rPr>
          <w:szCs w:val="20"/>
        </w:rPr>
        <w:t xml:space="preserve"> coordinated by the Ministry of Tourism. The role of the new planning ministry is still unclear </w:t>
      </w:r>
      <w:r w:rsidR="008E1DAB">
        <w:rPr>
          <w:szCs w:val="20"/>
        </w:rPr>
        <w:t>as to building the link between</w:t>
      </w:r>
      <w:r w:rsidR="00B51987">
        <w:rPr>
          <w:szCs w:val="20"/>
        </w:rPr>
        <w:t xml:space="preserve"> development</w:t>
      </w:r>
      <w:r w:rsidR="008E1DAB">
        <w:rPr>
          <w:szCs w:val="20"/>
        </w:rPr>
        <w:t xml:space="preserve"> planning and </w:t>
      </w:r>
      <w:r w:rsidR="000664EB" w:rsidRPr="00CD3D9C">
        <w:rPr>
          <w:szCs w:val="20"/>
        </w:rPr>
        <w:t xml:space="preserve">financing. </w:t>
      </w:r>
    </w:p>
    <w:p w14:paraId="2E15A639" w14:textId="77777777" w:rsidR="00B340E7" w:rsidRPr="00CD3D9C" w:rsidRDefault="00B340E7" w:rsidP="00DF0228">
      <w:pPr>
        <w:rPr>
          <w:szCs w:val="20"/>
        </w:rPr>
      </w:pPr>
    </w:p>
    <w:p w14:paraId="5A455264" w14:textId="2F9B8847" w:rsidR="00090206" w:rsidRPr="00CD3D9C" w:rsidRDefault="00090206" w:rsidP="00DF0228">
      <w:pPr>
        <w:rPr>
          <w:b/>
          <w:bCs/>
          <w:iCs/>
          <w:color w:val="000000" w:themeColor="text1"/>
          <w:szCs w:val="20"/>
        </w:rPr>
      </w:pPr>
      <w:r w:rsidRPr="00CD3D9C">
        <w:rPr>
          <w:b/>
          <w:bCs/>
          <w:iCs/>
          <w:color w:val="000000" w:themeColor="text1"/>
          <w:szCs w:val="20"/>
        </w:rPr>
        <w:t>1.</w:t>
      </w:r>
      <w:r w:rsidR="000A3F28" w:rsidRPr="00CD3D9C">
        <w:rPr>
          <w:b/>
          <w:bCs/>
          <w:iCs/>
          <w:color w:val="000000" w:themeColor="text1"/>
          <w:szCs w:val="20"/>
        </w:rPr>
        <w:t>2</w:t>
      </w:r>
      <w:r w:rsidRPr="00CD3D9C">
        <w:rPr>
          <w:b/>
          <w:bCs/>
          <w:iCs/>
          <w:color w:val="000000" w:themeColor="text1"/>
          <w:szCs w:val="20"/>
        </w:rPr>
        <w:t xml:space="preserve"> SDG</w:t>
      </w:r>
      <w:r w:rsidR="007F314E" w:rsidRPr="00CD3D9C">
        <w:rPr>
          <w:b/>
          <w:bCs/>
          <w:iCs/>
          <w:color w:val="000000" w:themeColor="text1"/>
          <w:szCs w:val="20"/>
        </w:rPr>
        <w:t>s</w:t>
      </w:r>
      <w:r w:rsidRPr="00CD3D9C">
        <w:rPr>
          <w:b/>
          <w:bCs/>
          <w:iCs/>
          <w:color w:val="000000" w:themeColor="text1"/>
          <w:szCs w:val="20"/>
        </w:rPr>
        <w:t xml:space="preserve"> </w:t>
      </w:r>
      <w:r w:rsidR="004C32CB" w:rsidRPr="00CD3D9C">
        <w:rPr>
          <w:b/>
          <w:bCs/>
          <w:iCs/>
          <w:color w:val="000000" w:themeColor="text1"/>
          <w:szCs w:val="20"/>
        </w:rPr>
        <w:t xml:space="preserve">and </w:t>
      </w:r>
      <w:r w:rsidRPr="00CD3D9C">
        <w:rPr>
          <w:b/>
          <w:bCs/>
          <w:iCs/>
          <w:color w:val="000000" w:themeColor="text1"/>
          <w:szCs w:val="20"/>
        </w:rPr>
        <w:t>targets</w:t>
      </w:r>
      <w:r w:rsidR="007F314E" w:rsidRPr="00CD3D9C">
        <w:rPr>
          <w:b/>
          <w:bCs/>
          <w:iCs/>
          <w:color w:val="000000" w:themeColor="text1"/>
          <w:szCs w:val="20"/>
        </w:rPr>
        <w:t xml:space="preserve"> </w:t>
      </w:r>
    </w:p>
    <w:p w14:paraId="6281E35C" w14:textId="1F191F34" w:rsidR="00482348" w:rsidRPr="00CD3D9C" w:rsidRDefault="00482348" w:rsidP="00DF0228">
      <w:pPr>
        <w:rPr>
          <w:b/>
          <w:bCs/>
          <w:iCs/>
          <w:color w:val="000000" w:themeColor="text1"/>
          <w:szCs w:val="20"/>
        </w:rPr>
      </w:pPr>
    </w:p>
    <w:p w14:paraId="67B38390" w14:textId="4F797BA5" w:rsidR="00480395" w:rsidRPr="00CD3D9C" w:rsidRDefault="3B182112" w:rsidP="00165569">
      <w:r>
        <w:t xml:space="preserve">The table below indicates the main targets relevant to the Joint Programme (JP). The JP will both contribute to the progress of the targets </w:t>
      </w:r>
      <w:r w:rsidR="22223078">
        <w:t xml:space="preserve">as well as </w:t>
      </w:r>
      <w:r>
        <w:t xml:space="preserve">the measurement/tracking of several targets for the Maldives. Progress will be measured using the SDG baseline report published by the National Bureau of Statistics and progress will be measured against planned baseline update report. Where baseline data does not exist, the JP will estimate baseline under activities in Output 1.1 and Output 1.2 and progress at the end of the JP implementation period. Progress on these targets will also be tracked during the proposed mid-term and final evaluation of the JP. The targets identified in </w:t>
      </w:r>
      <w:r w:rsidR="22223078">
        <w:t xml:space="preserve">Table </w:t>
      </w:r>
      <w:r>
        <w:t>1 relate to overall financing reforms that will be supported under the JP and SDG targets relevant to the thematic focus</w:t>
      </w:r>
      <w:r w:rsidR="6D4774E6">
        <w:t xml:space="preserve"> areas of the JP</w:t>
      </w:r>
      <w:r>
        <w:t xml:space="preserve"> on social service delivery and climate action. </w:t>
      </w:r>
    </w:p>
    <w:tbl>
      <w:tblPr>
        <w:tblStyle w:val="TableGrid"/>
        <w:tblpPr w:leftFromText="180" w:rightFromText="180" w:vertAnchor="text" w:tblpY="413"/>
        <w:tblW w:w="0" w:type="auto"/>
        <w:tblLook w:val="04A0" w:firstRow="1" w:lastRow="0" w:firstColumn="1" w:lastColumn="0" w:noHBand="0" w:noVBand="1"/>
      </w:tblPr>
      <w:tblGrid>
        <w:gridCol w:w="895"/>
        <w:gridCol w:w="7020"/>
        <w:gridCol w:w="1435"/>
      </w:tblGrid>
      <w:tr w:rsidR="0081556D" w:rsidRPr="00CD3D9C" w14:paraId="4DE78E9B" w14:textId="77777777" w:rsidTr="66A1DF9F">
        <w:tc>
          <w:tcPr>
            <w:tcW w:w="9350" w:type="dxa"/>
            <w:gridSpan w:val="3"/>
          </w:tcPr>
          <w:p w14:paraId="70BE4199" w14:textId="77777777" w:rsidR="0081556D" w:rsidRPr="00CD3D9C" w:rsidRDefault="0081556D" w:rsidP="0081556D">
            <w:pPr>
              <w:rPr>
                <w:iCs/>
                <w:color w:val="000000" w:themeColor="text1"/>
                <w:szCs w:val="20"/>
              </w:rPr>
            </w:pPr>
            <w:bookmarkStart w:id="1" w:name="_Hlk36551277"/>
            <w:r w:rsidRPr="00CD3D9C">
              <w:rPr>
                <w:iCs/>
                <w:color w:val="000000" w:themeColor="text1"/>
                <w:szCs w:val="20"/>
              </w:rPr>
              <w:t xml:space="preserve">Table 1 – JP contribution to SDGs </w:t>
            </w:r>
          </w:p>
        </w:tc>
      </w:tr>
      <w:tr w:rsidR="0081556D" w:rsidRPr="00CD3D9C" w14:paraId="51770405" w14:textId="77777777" w:rsidTr="66A1DF9F">
        <w:tc>
          <w:tcPr>
            <w:tcW w:w="895" w:type="dxa"/>
          </w:tcPr>
          <w:p w14:paraId="4756AC3F" w14:textId="77777777" w:rsidR="0081556D" w:rsidRPr="00CD3D9C" w:rsidRDefault="0081556D" w:rsidP="0081556D">
            <w:pPr>
              <w:rPr>
                <w:b/>
                <w:bCs/>
                <w:iCs/>
                <w:color w:val="000000" w:themeColor="text1"/>
                <w:szCs w:val="20"/>
              </w:rPr>
            </w:pPr>
            <w:r w:rsidRPr="00CD3D9C">
              <w:rPr>
                <w:b/>
                <w:bCs/>
                <w:iCs/>
                <w:color w:val="000000" w:themeColor="text1"/>
                <w:szCs w:val="20"/>
              </w:rPr>
              <w:t>Goal</w:t>
            </w:r>
          </w:p>
        </w:tc>
        <w:tc>
          <w:tcPr>
            <w:tcW w:w="7020" w:type="dxa"/>
          </w:tcPr>
          <w:p w14:paraId="631AC1DB" w14:textId="77777777" w:rsidR="0081556D" w:rsidRPr="00CD3D9C" w:rsidRDefault="0081556D" w:rsidP="0081556D">
            <w:pPr>
              <w:rPr>
                <w:b/>
                <w:bCs/>
                <w:iCs/>
                <w:color w:val="000000" w:themeColor="text1"/>
                <w:szCs w:val="20"/>
              </w:rPr>
            </w:pPr>
            <w:r w:rsidRPr="00CD3D9C">
              <w:rPr>
                <w:b/>
                <w:bCs/>
                <w:iCs/>
                <w:color w:val="000000" w:themeColor="text1"/>
                <w:szCs w:val="20"/>
              </w:rPr>
              <w:t xml:space="preserve">SDG Target </w:t>
            </w:r>
          </w:p>
        </w:tc>
        <w:tc>
          <w:tcPr>
            <w:tcW w:w="1435" w:type="dxa"/>
          </w:tcPr>
          <w:p w14:paraId="148BC7A7" w14:textId="77777777" w:rsidR="0081556D" w:rsidRPr="00CD3D9C" w:rsidRDefault="0081556D" w:rsidP="0081556D">
            <w:pPr>
              <w:rPr>
                <w:b/>
                <w:bCs/>
                <w:iCs/>
                <w:color w:val="000000" w:themeColor="text1"/>
                <w:szCs w:val="20"/>
              </w:rPr>
            </w:pPr>
            <w:r w:rsidRPr="00CD3D9C">
              <w:rPr>
                <w:b/>
                <w:bCs/>
                <w:iCs/>
                <w:color w:val="000000" w:themeColor="text1"/>
                <w:szCs w:val="20"/>
              </w:rPr>
              <w:t xml:space="preserve">Relevance to the JP </w:t>
            </w:r>
          </w:p>
        </w:tc>
      </w:tr>
      <w:tr w:rsidR="0081556D" w:rsidRPr="00CD3D9C" w14:paraId="5144C65F" w14:textId="77777777" w:rsidTr="66A1DF9F">
        <w:tc>
          <w:tcPr>
            <w:tcW w:w="895" w:type="dxa"/>
          </w:tcPr>
          <w:p w14:paraId="5DE2100D" w14:textId="27176542" w:rsidR="0081556D" w:rsidRPr="00CD3D9C" w:rsidRDefault="0081556D" w:rsidP="0081556D">
            <w:pPr>
              <w:rPr>
                <w:iCs/>
                <w:color w:val="000000" w:themeColor="text1"/>
                <w:szCs w:val="20"/>
              </w:rPr>
            </w:pPr>
            <w:r w:rsidRPr="00CD3D9C">
              <w:rPr>
                <w:iCs/>
                <w:color w:val="000000" w:themeColor="text1"/>
                <w:szCs w:val="20"/>
              </w:rPr>
              <w:t>SDG</w:t>
            </w:r>
            <w:r w:rsidR="00EE7E50">
              <w:rPr>
                <w:iCs/>
                <w:color w:val="000000" w:themeColor="text1"/>
                <w:szCs w:val="20"/>
              </w:rPr>
              <w:t xml:space="preserve"> </w:t>
            </w:r>
            <w:r w:rsidRPr="00CD3D9C">
              <w:rPr>
                <w:iCs/>
                <w:color w:val="000000" w:themeColor="text1"/>
                <w:szCs w:val="20"/>
              </w:rPr>
              <w:t xml:space="preserve">1 </w:t>
            </w:r>
          </w:p>
        </w:tc>
        <w:tc>
          <w:tcPr>
            <w:tcW w:w="7020" w:type="dxa"/>
          </w:tcPr>
          <w:p w14:paraId="448EB391" w14:textId="3ABABCE1" w:rsidR="0081556D" w:rsidRPr="00CD3D9C" w:rsidRDefault="0081556D" w:rsidP="0081556D">
            <w:pPr>
              <w:rPr>
                <w:iCs/>
                <w:color w:val="000000" w:themeColor="text1"/>
                <w:szCs w:val="20"/>
              </w:rPr>
            </w:pPr>
            <w:r w:rsidRPr="00CD3D9C">
              <w:rPr>
                <w:iCs/>
                <w:color w:val="000000" w:themeColor="text1"/>
                <w:szCs w:val="20"/>
              </w:rPr>
              <w:t>Target 1.b</w:t>
            </w:r>
            <w:r w:rsidR="00714316">
              <w:rPr>
                <w:iCs/>
                <w:color w:val="000000" w:themeColor="text1"/>
                <w:szCs w:val="20"/>
              </w:rPr>
              <w:t>:</w:t>
            </w:r>
            <w:r w:rsidRPr="00CD3D9C">
              <w:rPr>
                <w:iCs/>
                <w:color w:val="000000" w:themeColor="text1"/>
                <w:szCs w:val="20"/>
              </w:rPr>
              <w:t xml:space="preserve"> </w:t>
            </w:r>
            <w:r w:rsidR="00671A6C">
              <w:rPr>
                <w:iCs/>
                <w:color w:val="000000" w:themeColor="text1"/>
                <w:szCs w:val="20"/>
              </w:rPr>
              <w:t xml:space="preserve">Create sound policy frameworks at the national, regional and international levels, based on pro-poor and gender-sensitive development strategies, to support accelerated investment in poverty eradication actions. </w:t>
            </w:r>
            <w:r w:rsidRPr="00CD3D9C">
              <w:rPr>
                <w:iCs/>
                <w:color w:val="000000" w:themeColor="text1"/>
                <w:szCs w:val="20"/>
              </w:rPr>
              <w:t>Indicator: Proportion of government recurrent and capital spending going to sectors that disproportionately benefit women, poor and vulnerable groups</w:t>
            </w:r>
          </w:p>
        </w:tc>
        <w:tc>
          <w:tcPr>
            <w:tcW w:w="1435" w:type="dxa"/>
          </w:tcPr>
          <w:p w14:paraId="318B8A48" w14:textId="77777777" w:rsidR="0081556D" w:rsidRPr="00CD3D9C" w:rsidRDefault="0081556D" w:rsidP="0081556D">
            <w:pPr>
              <w:rPr>
                <w:iCs/>
                <w:color w:val="000000" w:themeColor="text1"/>
                <w:szCs w:val="20"/>
              </w:rPr>
            </w:pPr>
            <w:r w:rsidRPr="00CD3D9C">
              <w:rPr>
                <w:iCs/>
                <w:color w:val="000000" w:themeColor="text1"/>
                <w:szCs w:val="20"/>
              </w:rPr>
              <w:t xml:space="preserve">Output 1.2  </w:t>
            </w:r>
          </w:p>
        </w:tc>
      </w:tr>
      <w:tr w:rsidR="0081556D" w:rsidRPr="00CD3D9C" w14:paraId="57BFD49C" w14:textId="77777777" w:rsidTr="66A1DF9F">
        <w:tc>
          <w:tcPr>
            <w:tcW w:w="895" w:type="dxa"/>
          </w:tcPr>
          <w:p w14:paraId="567AF8A9" w14:textId="77777777" w:rsidR="0081556D" w:rsidRPr="00FB4EF5" w:rsidRDefault="0081556D" w:rsidP="0081556D">
            <w:pPr>
              <w:rPr>
                <w:iCs/>
                <w:color w:val="000000" w:themeColor="text1"/>
                <w:szCs w:val="20"/>
              </w:rPr>
            </w:pPr>
            <w:r w:rsidRPr="00FB4EF5">
              <w:rPr>
                <w:iCs/>
                <w:color w:val="000000" w:themeColor="text1"/>
                <w:szCs w:val="20"/>
              </w:rPr>
              <w:t>SDG 3</w:t>
            </w:r>
          </w:p>
        </w:tc>
        <w:tc>
          <w:tcPr>
            <w:tcW w:w="7020" w:type="dxa"/>
          </w:tcPr>
          <w:p w14:paraId="46A2568B" w14:textId="7FD9A898" w:rsidR="0081556D" w:rsidRPr="00CD3D9C" w:rsidRDefault="0081556D" w:rsidP="0081556D">
            <w:pPr>
              <w:rPr>
                <w:iCs/>
                <w:color w:val="000000" w:themeColor="text1"/>
                <w:szCs w:val="20"/>
              </w:rPr>
            </w:pPr>
            <w:r w:rsidRPr="00CD3D9C">
              <w:rPr>
                <w:iCs/>
                <w:color w:val="000000" w:themeColor="text1"/>
                <w:szCs w:val="20"/>
              </w:rPr>
              <w:t>Target 3.8</w:t>
            </w:r>
            <w:r w:rsidR="006C45B4">
              <w:rPr>
                <w:iCs/>
                <w:color w:val="000000" w:themeColor="text1"/>
                <w:szCs w:val="20"/>
              </w:rPr>
              <w:t>:</w:t>
            </w:r>
            <w:r w:rsidRPr="00CD3D9C">
              <w:rPr>
                <w:iCs/>
                <w:color w:val="000000" w:themeColor="text1"/>
                <w:szCs w:val="20"/>
              </w:rPr>
              <w:t xml:space="preserve"> Achieve universal health coverage, including financial risk protection, access to quality essential health-care services and access to safe, effective, quality and affordable essential medicines and vaccines for all</w:t>
            </w:r>
            <w:r w:rsidR="00671A6C">
              <w:rPr>
                <w:iCs/>
                <w:color w:val="000000" w:themeColor="text1"/>
                <w:szCs w:val="20"/>
              </w:rPr>
              <w:t>. Indicator:</w:t>
            </w:r>
            <w:r w:rsidR="0045255A">
              <w:rPr>
                <w:iCs/>
                <w:color w:val="000000" w:themeColor="text1"/>
                <w:szCs w:val="20"/>
              </w:rPr>
              <w:t xml:space="preserve"> </w:t>
            </w:r>
            <w:r w:rsidR="0045255A" w:rsidRPr="0045255A">
              <w:rPr>
                <w:iCs/>
                <w:color w:val="000000" w:themeColor="text1"/>
                <w:szCs w:val="20"/>
              </w:rPr>
              <w:t>3.8.1 Coverage of essential health services (defined as the average coverage of essential services based on tracer interventions that include reproductive, maternal, newborn and child health, infectious diseases, non-communicable diseases and service capacity and access, among the general and the most disadvantaged population)</w:t>
            </w:r>
          </w:p>
          <w:p w14:paraId="5CDEE298" w14:textId="6BF8A3C4" w:rsidR="0081556D" w:rsidRPr="00CD3D9C" w:rsidRDefault="0081556D" w:rsidP="0081556D">
            <w:pPr>
              <w:rPr>
                <w:iCs/>
                <w:color w:val="000000" w:themeColor="text1"/>
                <w:szCs w:val="20"/>
              </w:rPr>
            </w:pPr>
            <w:r w:rsidRPr="00CD3D9C">
              <w:rPr>
                <w:iCs/>
                <w:color w:val="000000" w:themeColor="text1"/>
                <w:szCs w:val="20"/>
              </w:rPr>
              <w:t>Target 3.c</w:t>
            </w:r>
            <w:r w:rsidR="006C45B4">
              <w:rPr>
                <w:iCs/>
                <w:color w:val="000000" w:themeColor="text1"/>
                <w:szCs w:val="20"/>
              </w:rPr>
              <w:t>:</w:t>
            </w:r>
            <w:r w:rsidRPr="00CD3D9C">
              <w:rPr>
                <w:iCs/>
                <w:color w:val="000000" w:themeColor="text1"/>
                <w:szCs w:val="20"/>
              </w:rPr>
              <w:t xml:space="preserve"> Substantially increase health financing and the recruitment, development, training and retention of the health workforce in developing countries, especially in least developed countries and small island developing States. Indicator:</w:t>
            </w:r>
            <w:r w:rsidRPr="00CD3D9C">
              <w:rPr>
                <w:szCs w:val="20"/>
              </w:rPr>
              <w:t xml:space="preserve"> </w:t>
            </w:r>
            <w:r w:rsidRPr="00CD3D9C">
              <w:rPr>
                <w:iCs/>
                <w:color w:val="000000" w:themeColor="text1"/>
                <w:szCs w:val="20"/>
              </w:rPr>
              <w:t>Health worker density and distribution</w:t>
            </w:r>
          </w:p>
        </w:tc>
        <w:tc>
          <w:tcPr>
            <w:tcW w:w="1435" w:type="dxa"/>
          </w:tcPr>
          <w:p w14:paraId="6DA7C1B9" w14:textId="77777777" w:rsidR="0081556D" w:rsidRPr="00CD3D9C" w:rsidRDefault="0081556D" w:rsidP="0081556D">
            <w:pPr>
              <w:rPr>
                <w:iCs/>
                <w:color w:val="000000" w:themeColor="text1"/>
                <w:szCs w:val="20"/>
              </w:rPr>
            </w:pPr>
            <w:r w:rsidRPr="00CD3D9C">
              <w:rPr>
                <w:iCs/>
                <w:color w:val="000000" w:themeColor="text1"/>
                <w:szCs w:val="20"/>
              </w:rPr>
              <w:t xml:space="preserve">Output 1.2 and Output 2.1 </w:t>
            </w:r>
          </w:p>
        </w:tc>
      </w:tr>
      <w:tr w:rsidR="00B53DF5" w:rsidRPr="00CD3D9C" w14:paraId="70B6C07F" w14:textId="77777777" w:rsidTr="66A1DF9F">
        <w:tc>
          <w:tcPr>
            <w:tcW w:w="895" w:type="dxa"/>
          </w:tcPr>
          <w:p w14:paraId="74C90BA4" w14:textId="31019365" w:rsidR="00B53DF5" w:rsidRPr="00FB4EF5" w:rsidRDefault="00B53DF5" w:rsidP="0081556D">
            <w:pPr>
              <w:rPr>
                <w:iCs/>
                <w:color w:val="000000" w:themeColor="text1"/>
                <w:szCs w:val="20"/>
              </w:rPr>
            </w:pPr>
            <w:r w:rsidRPr="00C62842">
              <w:rPr>
                <w:color w:val="000000" w:themeColor="text1"/>
              </w:rPr>
              <w:t>SDG 5</w:t>
            </w:r>
          </w:p>
        </w:tc>
        <w:tc>
          <w:tcPr>
            <w:tcW w:w="7020" w:type="dxa"/>
          </w:tcPr>
          <w:p w14:paraId="5FD0831E" w14:textId="5DD0E2D5" w:rsidR="00B53DF5" w:rsidRPr="00CD3D9C" w:rsidRDefault="00B53DF5" w:rsidP="0081556D">
            <w:pPr>
              <w:rPr>
                <w:iCs/>
                <w:color w:val="000000" w:themeColor="text1"/>
                <w:szCs w:val="20"/>
              </w:rPr>
            </w:pPr>
            <w:r w:rsidRPr="00CD3D9C">
              <w:rPr>
                <w:iCs/>
                <w:color w:val="000000" w:themeColor="text1"/>
                <w:szCs w:val="20"/>
              </w:rPr>
              <w:t>Target 5</w:t>
            </w:r>
            <w:r w:rsidR="00671A6C">
              <w:rPr>
                <w:iCs/>
                <w:color w:val="000000" w:themeColor="text1"/>
                <w:szCs w:val="20"/>
              </w:rPr>
              <w:t>.</w:t>
            </w:r>
            <w:r w:rsidRPr="00CD3D9C">
              <w:rPr>
                <w:iCs/>
                <w:color w:val="000000" w:themeColor="text1"/>
                <w:szCs w:val="20"/>
              </w:rPr>
              <w:t>c</w:t>
            </w:r>
            <w:r w:rsidR="00671A6C">
              <w:rPr>
                <w:iCs/>
                <w:color w:val="000000" w:themeColor="text1"/>
                <w:szCs w:val="20"/>
              </w:rPr>
              <w:t>:</w:t>
            </w:r>
            <w:r w:rsidRPr="00CD3D9C">
              <w:rPr>
                <w:iCs/>
                <w:color w:val="000000" w:themeColor="text1"/>
                <w:szCs w:val="20"/>
              </w:rPr>
              <w:t xml:space="preserve"> Adopt and strengthen sound policies and enforceable legislation for the promotion of gender equality and empowerment of women and girls at all levels</w:t>
            </w:r>
            <w:r w:rsidR="00714316">
              <w:rPr>
                <w:iCs/>
                <w:color w:val="000000" w:themeColor="text1"/>
                <w:szCs w:val="20"/>
              </w:rPr>
              <w:t xml:space="preserve">. </w:t>
            </w:r>
            <w:r w:rsidRPr="00CD3D9C">
              <w:rPr>
                <w:iCs/>
                <w:color w:val="000000" w:themeColor="text1"/>
                <w:szCs w:val="20"/>
              </w:rPr>
              <w:t>Indicator: Systems to track and make public allocations for gender equality and women’s empowerment</w:t>
            </w:r>
          </w:p>
        </w:tc>
        <w:tc>
          <w:tcPr>
            <w:tcW w:w="1435" w:type="dxa"/>
          </w:tcPr>
          <w:p w14:paraId="5D430F81" w14:textId="5D39E2CD" w:rsidR="00B53DF5" w:rsidRPr="00CD3D9C" w:rsidRDefault="00B53DF5" w:rsidP="0081556D">
            <w:pPr>
              <w:rPr>
                <w:iCs/>
                <w:color w:val="000000" w:themeColor="text1"/>
                <w:szCs w:val="20"/>
              </w:rPr>
            </w:pPr>
            <w:r w:rsidRPr="00CD3D9C">
              <w:rPr>
                <w:iCs/>
                <w:color w:val="000000" w:themeColor="text1"/>
                <w:szCs w:val="20"/>
              </w:rPr>
              <w:t>Output 1.2 and Output 2.1</w:t>
            </w:r>
          </w:p>
        </w:tc>
      </w:tr>
      <w:tr w:rsidR="0081556D" w:rsidRPr="00CD3D9C" w14:paraId="31147883" w14:textId="77777777" w:rsidTr="66A1DF9F">
        <w:tc>
          <w:tcPr>
            <w:tcW w:w="895" w:type="dxa"/>
          </w:tcPr>
          <w:p w14:paraId="754C4EFE" w14:textId="77777777" w:rsidR="0081556D" w:rsidRPr="00CD3D9C" w:rsidRDefault="0081556D" w:rsidP="0081556D">
            <w:pPr>
              <w:rPr>
                <w:iCs/>
                <w:color w:val="000000" w:themeColor="text1"/>
                <w:szCs w:val="20"/>
              </w:rPr>
            </w:pPr>
            <w:r w:rsidRPr="00CD3D9C">
              <w:rPr>
                <w:iCs/>
                <w:color w:val="000000" w:themeColor="text1"/>
                <w:szCs w:val="20"/>
              </w:rPr>
              <w:t xml:space="preserve">SDG 7 </w:t>
            </w:r>
          </w:p>
        </w:tc>
        <w:tc>
          <w:tcPr>
            <w:tcW w:w="7020" w:type="dxa"/>
          </w:tcPr>
          <w:p w14:paraId="0B7F5CD0" w14:textId="36701505" w:rsidR="0081556D" w:rsidRPr="00CD3D9C" w:rsidRDefault="0081556D" w:rsidP="0081556D">
            <w:pPr>
              <w:rPr>
                <w:iCs/>
                <w:color w:val="000000" w:themeColor="text1"/>
                <w:szCs w:val="20"/>
              </w:rPr>
            </w:pPr>
            <w:r w:rsidRPr="00CD3D9C">
              <w:rPr>
                <w:iCs/>
                <w:color w:val="000000" w:themeColor="text1"/>
                <w:szCs w:val="20"/>
              </w:rPr>
              <w:t>Target 7.2</w:t>
            </w:r>
            <w:r w:rsidR="00671A6C">
              <w:rPr>
                <w:iCs/>
                <w:color w:val="000000" w:themeColor="text1"/>
                <w:szCs w:val="20"/>
              </w:rPr>
              <w:t>:</w:t>
            </w:r>
            <w:r w:rsidRPr="00CD3D9C">
              <w:rPr>
                <w:iCs/>
                <w:color w:val="000000" w:themeColor="text1"/>
                <w:szCs w:val="20"/>
              </w:rPr>
              <w:t xml:space="preserve"> By 2030, increase substantially the share of renewable energy in the global energy mix. Indicator: Renewable energy share in the total final energy consumption</w:t>
            </w:r>
          </w:p>
        </w:tc>
        <w:tc>
          <w:tcPr>
            <w:tcW w:w="1435" w:type="dxa"/>
          </w:tcPr>
          <w:p w14:paraId="301858D4" w14:textId="77777777" w:rsidR="0081556D" w:rsidRPr="00CD3D9C" w:rsidRDefault="0081556D" w:rsidP="0081556D">
            <w:pPr>
              <w:rPr>
                <w:iCs/>
                <w:color w:val="000000" w:themeColor="text1"/>
                <w:szCs w:val="20"/>
              </w:rPr>
            </w:pPr>
            <w:r w:rsidRPr="00CD3D9C">
              <w:rPr>
                <w:iCs/>
                <w:color w:val="000000" w:themeColor="text1"/>
                <w:szCs w:val="20"/>
              </w:rPr>
              <w:t xml:space="preserve">Output 2.1 and 2.2 </w:t>
            </w:r>
          </w:p>
        </w:tc>
      </w:tr>
      <w:tr w:rsidR="0081556D" w:rsidRPr="00CD3D9C" w14:paraId="1E12B768" w14:textId="77777777" w:rsidTr="66A1DF9F">
        <w:tc>
          <w:tcPr>
            <w:tcW w:w="895" w:type="dxa"/>
          </w:tcPr>
          <w:p w14:paraId="06497884" w14:textId="4B1C19F7" w:rsidR="0081556D" w:rsidRPr="00CD3D9C" w:rsidRDefault="0081556D" w:rsidP="0081556D">
            <w:pPr>
              <w:rPr>
                <w:iCs/>
                <w:color w:val="000000" w:themeColor="text1"/>
                <w:szCs w:val="20"/>
              </w:rPr>
            </w:pPr>
            <w:r w:rsidRPr="00CD3D9C">
              <w:rPr>
                <w:iCs/>
                <w:color w:val="000000" w:themeColor="text1"/>
                <w:szCs w:val="20"/>
              </w:rPr>
              <w:lastRenderedPageBreak/>
              <w:t>SDG 9</w:t>
            </w:r>
          </w:p>
        </w:tc>
        <w:tc>
          <w:tcPr>
            <w:tcW w:w="7020" w:type="dxa"/>
          </w:tcPr>
          <w:p w14:paraId="4BA11EF8" w14:textId="1C962D7D" w:rsidR="0081556D" w:rsidRPr="00CD3D9C" w:rsidRDefault="008A3A0D" w:rsidP="0081556D">
            <w:pPr>
              <w:tabs>
                <w:tab w:val="left" w:pos="1470"/>
              </w:tabs>
              <w:rPr>
                <w:szCs w:val="20"/>
              </w:rPr>
            </w:pPr>
            <w:r w:rsidRPr="00CD3D9C">
              <w:rPr>
                <w:iCs/>
                <w:color w:val="000000" w:themeColor="text1"/>
                <w:szCs w:val="20"/>
              </w:rPr>
              <w:t>Target 9.a</w:t>
            </w:r>
            <w:r w:rsidR="00671A6C">
              <w:rPr>
                <w:iCs/>
                <w:color w:val="000000" w:themeColor="text1"/>
                <w:szCs w:val="20"/>
              </w:rPr>
              <w:t>:</w:t>
            </w:r>
            <w:r w:rsidR="0081556D" w:rsidRPr="00CD3D9C">
              <w:rPr>
                <w:iCs/>
                <w:color w:val="000000" w:themeColor="text1"/>
                <w:szCs w:val="20"/>
              </w:rPr>
              <w:t xml:space="preserve"> Facilitate sustainable and resilient infrastructure development in developing countries through enhanced financial, technological and technical support to African countries, least developed countries, landlocked developing countries and small island developing States. Indicator:</w:t>
            </w:r>
            <w:r w:rsidR="0081556D" w:rsidRPr="00CD3D9C">
              <w:rPr>
                <w:szCs w:val="20"/>
              </w:rPr>
              <w:t xml:space="preserve"> </w:t>
            </w:r>
            <w:r w:rsidR="0081556D" w:rsidRPr="00CD3D9C">
              <w:rPr>
                <w:iCs/>
                <w:color w:val="000000" w:themeColor="text1"/>
                <w:szCs w:val="20"/>
              </w:rPr>
              <w:t>Total official international support (official development assistance plus other official flows) to infrastructure.</w:t>
            </w:r>
          </w:p>
        </w:tc>
        <w:tc>
          <w:tcPr>
            <w:tcW w:w="1435" w:type="dxa"/>
          </w:tcPr>
          <w:p w14:paraId="7F2DE0B7" w14:textId="77777777" w:rsidR="0081556D" w:rsidRPr="00CD3D9C" w:rsidRDefault="0081556D" w:rsidP="0081556D">
            <w:pPr>
              <w:rPr>
                <w:iCs/>
                <w:color w:val="000000" w:themeColor="text1"/>
                <w:szCs w:val="20"/>
              </w:rPr>
            </w:pPr>
            <w:r w:rsidRPr="00CD3D9C">
              <w:rPr>
                <w:iCs/>
                <w:color w:val="000000" w:themeColor="text1"/>
                <w:szCs w:val="20"/>
              </w:rPr>
              <w:t>Output 2.1 and Output 2.2</w:t>
            </w:r>
          </w:p>
        </w:tc>
      </w:tr>
      <w:tr w:rsidR="0081556D" w:rsidRPr="00CD3D9C" w14:paraId="3C4535FA" w14:textId="77777777" w:rsidTr="66A1DF9F">
        <w:tc>
          <w:tcPr>
            <w:tcW w:w="895" w:type="dxa"/>
          </w:tcPr>
          <w:p w14:paraId="4F12CC0D" w14:textId="77777777" w:rsidR="0081556D" w:rsidRPr="00CD3D9C" w:rsidRDefault="0081556D" w:rsidP="0081556D">
            <w:pPr>
              <w:rPr>
                <w:iCs/>
                <w:color w:val="000000" w:themeColor="text1"/>
                <w:szCs w:val="20"/>
              </w:rPr>
            </w:pPr>
            <w:r w:rsidRPr="00CD3D9C">
              <w:rPr>
                <w:iCs/>
                <w:color w:val="000000" w:themeColor="text1"/>
                <w:szCs w:val="20"/>
              </w:rPr>
              <w:t>SDG 10</w:t>
            </w:r>
          </w:p>
        </w:tc>
        <w:tc>
          <w:tcPr>
            <w:tcW w:w="7020" w:type="dxa"/>
          </w:tcPr>
          <w:p w14:paraId="1F2ADC33" w14:textId="6D692C4F" w:rsidR="0081556D" w:rsidRPr="00CD3D9C" w:rsidRDefault="58C9B620" w:rsidP="66A1DF9F">
            <w:pPr>
              <w:rPr>
                <w:color w:val="000000" w:themeColor="text1"/>
              </w:rPr>
            </w:pPr>
            <w:r w:rsidRPr="66A1DF9F">
              <w:rPr>
                <w:color w:val="000000" w:themeColor="text1"/>
              </w:rPr>
              <w:t>Target 10.b</w:t>
            </w:r>
            <w:r w:rsidR="6418D559" w:rsidRPr="66A1DF9F">
              <w:rPr>
                <w:color w:val="000000" w:themeColor="text1"/>
              </w:rPr>
              <w:t>:</w:t>
            </w:r>
            <w:r w:rsidRPr="66A1DF9F">
              <w:rPr>
                <w:color w:val="000000" w:themeColor="text1"/>
              </w:rPr>
              <w:t xml:space="preserve"> Encourage official development assistance and financial flows, including foreign direct investment, to States where the need is greatest, in particular least developed countries, African countries, small island developing States and landlocked developing countries, in accordance with their national plans and programmes.</w:t>
            </w:r>
            <w:r w:rsidR="6418D559" w:rsidRPr="66A1DF9F">
              <w:rPr>
                <w:color w:val="000000" w:themeColor="text1"/>
              </w:rPr>
              <w:t xml:space="preserve"> Indicator:</w:t>
            </w:r>
            <w:r w:rsidRPr="66A1DF9F">
              <w:rPr>
                <w:color w:val="000000" w:themeColor="text1"/>
              </w:rPr>
              <w:t xml:space="preserve"> Total resource flows for development, by recipient and donor countries and type of flow (e.g. official development assistance, foreign direct investment and other flows)</w:t>
            </w:r>
          </w:p>
        </w:tc>
        <w:tc>
          <w:tcPr>
            <w:tcW w:w="1435" w:type="dxa"/>
          </w:tcPr>
          <w:p w14:paraId="4A4E6353" w14:textId="77777777" w:rsidR="0081556D" w:rsidRPr="00CD3D9C" w:rsidRDefault="0081556D" w:rsidP="0081556D">
            <w:pPr>
              <w:rPr>
                <w:iCs/>
                <w:color w:val="000000" w:themeColor="text1"/>
                <w:szCs w:val="20"/>
              </w:rPr>
            </w:pPr>
            <w:r w:rsidRPr="00CD3D9C">
              <w:rPr>
                <w:iCs/>
                <w:color w:val="000000" w:themeColor="text1"/>
                <w:szCs w:val="20"/>
              </w:rPr>
              <w:t xml:space="preserve">Output 2.1 Output 2.2  </w:t>
            </w:r>
          </w:p>
        </w:tc>
      </w:tr>
      <w:tr w:rsidR="0081556D" w:rsidRPr="00CD3D9C" w14:paraId="5268E4D2" w14:textId="77777777" w:rsidTr="66A1DF9F">
        <w:tc>
          <w:tcPr>
            <w:tcW w:w="895" w:type="dxa"/>
          </w:tcPr>
          <w:p w14:paraId="463494F5" w14:textId="77777777" w:rsidR="0081556D" w:rsidRPr="00CD3D9C" w:rsidRDefault="0081556D" w:rsidP="0081556D">
            <w:pPr>
              <w:rPr>
                <w:iCs/>
                <w:color w:val="000000" w:themeColor="text1"/>
                <w:szCs w:val="20"/>
              </w:rPr>
            </w:pPr>
            <w:r w:rsidRPr="00CD3D9C">
              <w:rPr>
                <w:iCs/>
                <w:color w:val="000000" w:themeColor="text1"/>
                <w:szCs w:val="20"/>
              </w:rPr>
              <w:t>SDG 13</w:t>
            </w:r>
          </w:p>
        </w:tc>
        <w:tc>
          <w:tcPr>
            <w:tcW w:w="7020" w:type="dxa"/>
          </w:tcPr>
          <w:p w14:paraId="6A434C60" w14:textId="1F43E411" w:rsidR="0081556D" w:rsidRPr="00CD3D9C" w:rsidRDefault="00714316" w:rsidP="0081556D">
            <w:pPr>
              <w:rPr>
                <w:iCs/>
                <w:color w:val="000000" w:themeColor="text1"/>
                <w:szCs w:val="20"/>
              </w:rPr>
            </w:pPr>
            <w:r>
              <w:rPr>
                <w:iCs/>
                <w:color w:val="000000" w:themeColor="text1"/>
                <w:szCs w:val="20"/>
              </w:rPr>
              <w:t xml:space="preserve">Target </w:t>
            </w:r>
            <w:r w:rsidR="0081556D" w:rsidRPr="00CD3D9C">
              <w:rPr>
                <w:iCs/>
                <w:color w:val="000000" w:themeColor="text1"/>
                <w:szCs w:val="20"/>
              </w:rPr>
              <w:t>13.b</w:t>
            </w:r>
            <w:r>
              <w:rPr>
                <w:iCs/>
                <w:color w:val="000000" w:themeColor="text1"/>
                <w:szCs w:val="20"/>
              </w:rPr>
              <w:t xml:space="preserve">: </w:t>
            </w:r>
            <w:r w:rsidR="0081556D" w:rsidRPr="00CD3D9C">
              <w:rPr>
                <w:iCs/>
                <w:color w:val="000000" w:themeColor="text1"/>
                <w:szCs w:val="20"/>
              </w:rPr>
              <w:t xml:space="preserve">Promote mechanisms for raising capacity for effective climate change-related planning and management in least developed countries and small island developing States, including focusing </w:t>
            </w:r>
            <w:r w:rsidR="0081556D" w:rsidRPr="00C62842">
              <w:rPr>
                <w:color w:val="000000" w:themeColor="text1"/>
              </w:rPr>
              <w:t>on women</w:t>
            </w:r>
            <w:r w:rsidR="0081556D" w:rsidRPr="00FB4EF5">
              <w:rPr>
                <w:iCs/>
                <w:color w:val="000000" w:themeColor="text1"/>
                <w:szCs w:val="20"/>
              </w:rPr>
              <w:t>, youth</w:t>
            </w:r>
            <w:r w:rsidR="0081556D" w:rsidRPr="00CD3D9C">
              <w:rPr>
                <w:iCs/>
                <w:color w:val="000000" w:themeColor="text1"/>
                <w:szCs w:val="20"/>
              </w:rPr>
              <w:t xml:space="preserve"> and local and marginalized communities</w:t>
            </w:r>
            <w:r>
              <w:rPr>
                <w:iCs/>
                <w:color w:val="000000" w:themeColor="text1"/>
                <w:szCs w:val="20"/>
              </w:rPr>
              <w:t>. Indicator:</w:t>
            </w:r>
            <w:r w:rsidR="0045255A">
              <w:rPr>
                <w:iCs/>
                <w:color w:val="000000" w:themeColor="text1"/>
                <w:szCs w:val="20"/>
              </w:rPr>
              <w:t xml:space="preserve"> </w:t>
            </w:r>
            <w:r w:rsidR="0045255A" w:rsidRPr="0045255A">
              <w:rPr>
                <w:iCs/>
                <w:color w:val="000000" w:themeColor="text1"/>
                <w:szCs w:val="20"/>
              </w:rPr>
              <w:t>13.b.1 Number of least developed countries and small island developing States that are receiving specialized support, and amount of support, including finance, technology and capacity-building, for mechanisms for raising capacities for effective climate change-related planning and management, including focusing on women, youth and local and marginalized communities</w:t>
            </w:r>
          </w:p>
        </w:tc>
        <w:tc>
          <w:tcPr>
            <w:tcW w:w="1435" w:type="dxa"/>
          </w:tcPr>
          <w:p w14:paraId="32D5E2C1" w14:textId="77777777" w:rsidR="0081556D" w:rsidRPr="00CD3D9C" w:rsidRDefault="0081556D" w:rsidP="0081556D">
            <w:pPr>
              <w:rPr>
                <w:iCs/>
                <w:color w:val="000000" w:themeColor="text1"/>
                <w:szCs w:val="20"/>
              </w:rPr>
            </w:pPr>
            <w:r w:rsidRPr="00CD3D9C">
              <w:rPr>
                <w:iCs/>
                <w:color w:val="000000" w:themeColor="text1"/>
                <w:szCs w:val="20"/>
              </w:rPr>
              <w:t xml:space="preserve">Output 2.1 </w:t>
            </w:r>
          </w:p>
        </w:tc>
      </w:tr>
      <w:tr w:rsidR="0081556D" w:rsidRPr="00CD3D9C" w14:paraId="2164FFE3" w14:textId="77777777" w:rsidTr="66A1DF9F">
        <w:tc>
          <w:tcPr>
            <w:tcW w:w="895" w:type="dxa"/>
          </w:tcPr>
          <w:p w14:paraId="1D1F3CE9" w14:textId="77777777" w:rsidR="0081556D" w:rsidRPr="00CD3D9C" w:rsidRDefault="0081556D" w:rsidP="0081556D">
            <w:pPr>
              <w:rPr>
                <w:iCs/>
                <w:color w:val="000000" w:themeColor="text1"/>
                <w:szCs w:val="20"/>
              </w:rPr>
            </w:pPr>
            <w:r w:rsidRPr="00CD3D9C">
              <w:rPr>
                <w:iCs/>
                <w:color w:val="000000" w:themeColor="text1"/>
                <w:szCs w:val="20"/>
              </w:rPr>
              <w:t>SDG 15</w:t>
            </w:r>
          </w:p>
        </w:tc>
        <w:tc>
          <w:tcPr>
            <w:tcW w:w="7020" w:type="dxa"/>
          </w:tcPr>
          <w:p w14:paraId="52706A58" w14:textId="4FEB1163" w:rsidR="0081556D" w:rsidRPr="00CD3D9C" w:rsidRDefault="008A3A0D" w:rsidP="0081556D">
            <w:pPr>
              <w:rPr>
                <w:iCs/>
                <w:color w:val="000000" w:themeColor="text1"/>
                <w:szCs w:val="20"/>
              </w:rPr>
            </w:pPr>
            <w:r w:rsidRPr="00CD3D9C">
              <w:rPr>
                <w:iCs/>
                <w:color w:val="000000" w:themeColor="text1"/>
                <w:szCs w:val="20"/>
              </w:rPr>
              <w:t>Target 15.a</w:t>
            </w:r>
            <w:r w:rsidR="00714316">
              <w:rPr>
                <w:iCs/>
                <w:color w:val="000000" w:themeColor="text1"/>
                <w:szCs w:val="20"/>
              </w:rPr>
              <w:t>:</w:t>
            </w:r>
            <w:r w:rsidR="0081556D" w:rsidRPr="00CD3D9C">
              <w:rPr>
                <w:iCs/>
                <w:color w:val="000000" w:themeColor="text1"/>
                <w:szCs w:val="20"/>
              </w:rPr>
              <w:t xml:space="preserve"> Mobilize and significantly increase financial resources from all sources to conserve and sustainable use biodiversity and ecosystems</w:t>
            </w:r>
            <w:r w:rsidR="00714316">
              <w:rPr>
                <w:iCs/>
                <w:color w:val="000000" w:themeColor="text1"/>
                <w:szCs w:val="20"/>
              </w:rPr>
              <w:t>. Indicator: Official development assistance and public expenditure on conservation and sustainable use of biodiversity and ecosystems.</w:t>
            </w:r>
          </w:p>
        </w:tc>
        <w:tc>
          <w:tcPr>
            <w:tcW w:w="1435" w:type="dxa"/>
          </w:tcPr>
          <w:p w14:paraId="3DAC988C" w14:textId="77777777" w:rsidR="0081556D" w:rsidRPr="00CD3D9C" w:rsidRDefault="0081556D" w:rsidP="0081556D">
            <w:pPr>
              <w:rPr>
                <w:iCs/>
                <w:color w:val="000000" w:themeColor="text1"/>
                <w:szCs w:val="20"/>
              </w:rPr>
            </w:pPr>
            <w:r w:rsidRPr="00CD3D9C">
              <w:rPr>
                <w:iCs/>
                <w:color w:val="000000" w:themeColor="text1"/>
                <w:szCs w:val="20"/>
              </w:rPr>
              <w:t>Output 2.1 and Output 2.2</w:t>
            </w:r>
          </w:p>
        </w:tc>
      </w:tr>
      <w:tr w:rsidR="0081556D" w:rsidRPr="00CD3D9C" w14:paraId="565FD5CF" w14:textId="77777777" w:rsidTr="66A1DF9F">
        <w:tc>
          <w:tcPr>
            <w:tcW w:w="895" w:type="dxa"/>
          </w:tcPr>
          <w:p w14:paraId="3AB976D1" w14:textId="77777777" w:rsidR="0081556D" w:rsidRPr="00CD3D9C" w:rsidRDefault="0081556D" w:rsidP="0081556D">
            <w:pPr>
              <w:rPr>
                <w:iCs/>
                <w:color w:val="000000" w:themeColor="text1"/>
                <w:szCs w:val="20"/>
              </w:rPr>
            </w:pPr>
            <w:r w:rsidRPr="00CD3D9C">
              <w:rPr>
                <w:iCs/>
                <w:color w:val="000000" w:themeColor="text1"/>
                <w:szCs w:val="20"/>
              </w:rPr>
              <w:t>SDG 16</w:t>
            </w:r>
          </w:p>
        </w:tc>
        <w:tc>
          <w:tcPr>
            <w:tcW w:w="7020" w:type="dxa"/>
          </w:tcPr>
          <w:p w14:paraId="780FF11C" w14:textId="0A912A22" w:rsidR="0081556D" w:rsidRPr="00CD3D9C" w:rsidRDefault="0081556D" w:rsidP="0081556D">
            <w:pPr>
              <w:rPr>
                <w:iCs/>
                <w:color w:val="000000" w:themeColor="text1"/>
                <w:szCs w:val="20"/>
              </w:rPr>
            </w:pPr>
            <w:r w:rsidRPr="00CD3D9C">
              <w:rPr>
                <w:iCs/>
                <w:color w:val="000000" w:themeColor="text1"/>
                <w:szCs w:val="20"/>
              </w:rPr>
              <w:t>Target 16.6</w:t>
            </w:r>
            <w:r w:rsidR="00714316">
              <w:rPr>
                <w:iCs/>
                <w:color w:val="000000" w:themeColor="text1"/>
                <w:szCs w:val="20"/>
              </w:rPr>
              <w:t>:</w:t>
            </w:r>
            <w:r w:rsidRPr="00CD3D9C">
              <w:rPr>
                <w:iCs/>
                <w:color w:val="000000" w:themeColor="text1"/>
                <w:szCs w:val="20"/>
              </w:rPr>
              <w:t xml:space="preserve"> Develop effective, accountable and transparent institutions at all levels</w:t>
            </w:r>
            <w:r w:rsidR="00714316">
              <w:rPr>
                <w:iCs/>
                <w:color w:val="000000" w:themeColor="text1"/>
                <w:szCs w:val="20"/>
              </w:rPr>
              <w:t>.</w:t>
            </w:r>
            <w:r w:rsidRPr="00CD3D9C">
              <w:rPr>
                <w:iCs/>
                <w:color w:val="000000" w:themeColor="text1"/>
                <w:szCs w:val="20"/>
              </w:rPr>
              <w:t xml:space="preserve"> Indicator: </w:t>
            </w:r>
            <w:r w:rsidR="00714316">
              <w:rPr>
                <w:iCs/>
                <w:color w:val="000000" w:themeColor="text1"/>
                <w:szCs w:val="20"/>
              </w:rPr>
              <w:t>P</w:t>
            </w:r>
            <w:r w:rsidR="00714316" w:rsidRPr="00CD3D9C">
              <w:rPr>
                <w:iCs/>
                <w:color w:val="000000" w:themeColor="text1"/>
                <w:szCs w:val="20"/>
              </w:rPr>
              <w:t xml:space="preserve">rimary </w:t>
            </w:r>
            <w:r w:rsidRPr="00CD3D9C">
              <w:rPr>
                <w:iCs/>
                <w:color w:val="000000" w:themeColor="text1"/>
                <w:szCs w:val="20"/>
              </w:rPr>
              <w:t>government expenditures as a proportion of original approved budget, by sector (or by budget codes or similar</w:t>
            </w:r>
            <w:r w:rsidR="00714316">
              <w:rPr>
                <w:iCs/>
                <w:color w:val="000000" w:themeColor="text1"/>
                <w:szCs w:val="20"/>
              </w:rPr>
              <w:t>)</w:t>
            </w:r>
          </w:p>
        </w:tc>
        <w:tc>
          <w:tcPr>
            <w:tcW w:w="1435" w:type="dxa"/>
          </w:tcPr>
          <w:p w14:paraId="16A1C06D" w14:textId="77777777" w:rsidR="0081556D" w:rsidRPr="00CD3D9C" w:rsidRDefault="0081556D" w:rsidP="0081556D">
            <w:pPr>
              <w:rPr>
                <w:iCs/>
                <w:color w:val="000000" w:themeColor="text1"/>
                <w:szCs w:val="20"/>
              </w:rPr>
            </w:pPr>
            <w:r w:rsidRPr="00CD3D9C">
              <w:rPr>
                <w:iCs/>
                <w:color w:val="000000" w:themeColor="text1"/>
                <w:szCs w:val="20"/>
              </w:rPr>
              <w:t>Output 2.1 Output 3.1</w:t>
            </w:r>
          </w:p>
        </w:tc>
      </w:tr>
      <w:tr w:rsidR="0081556D" w:rsidRPr="00CD3D9C" w14:paraId="3D8B3D6E" w14:textId="77777777" w:rsidTr="66A1DF9F">
        <w:tc>
          <w:tcPr>
            <w:tcW w:w="895" w:type="dxa"/>
          </w:tcPr>
          <w:p w14:paraId="359A5997" w14:textId="77777777" w:rsidR="0081556D" w:rsidRPr="00CD3D9C" w:rsidRDefault="0081556D" w:rsidP="0081556D">
            <w:pPr>
              <w:rPr>
                <w:iCs/>
                <w:color w:val="000000" w:themeColor="text1"/>
                <w:szCs w:val="20"/>
              </w:rPr>
            </w:pPr>
            <w:r w:rsidRPr="00CD3D9C">
              <w:rPr>
                <w:iCs/>
                <w:color w:val="000000" w:themeColor="text1"/>
                <w:szCs w:val="20"/>
              </w:rPr>
              <w:t>SDG 17</w:t>
            </w:r>
          </w:p>
        </w:tc>
        <w:tc>
          <w:tcPr>
            <w:tcW w:w="7020" w:type="dxa"/>
          </w:tcPr>
          <w:p w14:paraId="7D6BC533" w14:textId="6FA640E4" w:rsidR="0081556D" w:rsidRPr="00CD3D9C" w:rsidRDefault="0081556D" w:rsidP="0081556D">
            <w:pPr>
              <w:rPr>
                <w:iCs/>
                <w:color w:val="000000" w:themeColor="text1"/>
                <w:szCs w:val="20"/>
              </w:rPr>
            </w:pPr>
            <w:r w:rsidRPr="00CD3D9C">
              <w:rPr>
                <w:iCs/>
                <w:color w:val="000000" w:themeColor="text1"/>
                <w:szCs w:val="20"/>
              </w:rPr>
              <w:t>Target 17.3</w:t>
            </w:r>
            <w:r w:rsidR="00714316">
              <w:rPr>
                <w:iCs/>
                <w:color w:val="000000" w:themeColor="text1"/>
                <w:szCs w:val="20"/>
              </w:rPr>
              <w:t>:</w:t>
            </w:r>
            <w:r w:rsidRPr="00CD3D9C">
              <w:rPr>
                <w:iCs/>
                <w:color w:val="000000" w:themeColor="text1"/>
                <w:szCs w:val="20"/>
              </w:rPr>
              <w:t xml:space="preserve"> Mobilize additional financial resources for developing countries from multiple sources. Indicator: Foreign direct investments (FDI), official development assistance and South-South Cooperation as a proportion of total domestic budget</w:t>
            </w:r>
            <w:r w:rsidR="00714316">
              <w:rPr>
                <w:iCs/>
                <w:color w:val="000000" w:themeColor="text1"/>
                <w:szCs w:val="20"/>
              </w:rPr>
              <w:t>.</w:t>
            </w:r>
          </w:p>
          <w:p w14:paraId="2A794371" w14:textId="03D3A173" w:rsidR="0081556D" w:rsidRPr="00CD3D9C" w:rsidRDefault="58C9B620" w:rsidP="66A1DF9F">
            <w:pPr>
              <w:rPr>
                <w:color w:val="000000" w:themeColor="text1"/>
              </w:rPr>
            </w:pPr>
            <w:r w:rsidRPr="66A1DF9F">
              <w:rPr>
                <w:color w:val="000000" w:themeColor="text1"/>
              </w:rPr>
              <w:t>Target 17.17</w:t>
            </w:r>
            <w:r w:rsidR="6418D559" w:rsidRPr="66A1DF9F">
              <w:rPr>
                <w:color w:val="000000" w:themeColor="text1"/>
              </w:rPr>
              <w:t>:</w:t>
            </w:r>
            <w:r w:rsidRPr="66A1DF9F">
              <w:rPr>
                <w:color w:val="000000" w:themeColor="text1"/>
              </w:rPr>
              <w:t xml:space="preserve"> Encourage and promote effective public, public-private and civil society partnerships, building on the experience and resourcing strategies of partnerships. Indicator: Amount of United States dollars committed to public-private and civil society partnerships</w:t>
            </w:r>
          </w:p>
        </w:tc>
        <w:tc>
          <w:tcPr>
            <w:tcW w:w="1435" w:type="dxa"/>
          </w:tcPr>
          <w:p w14:paraId="091D2118" w14:textId="77777777" w:rsidR="0081556D" w:rsidRPr="00CD3D9C" w:rsidRDefault="0081556D" w:rsidP="0081556D">
            <w:pPr>
              <w:rPr>
                <w:iCs/>
                <w:color w:val="000000" w:themeColor="text1"/>
                <w:szCs w:val="20"/>
              </w:rPr>
            </w:pPr>
            <w:r w:rsidRPr="00CD3D9C">
              <w:rPr>
                <w:iCs/>
                <w:color w:val="000000" w:themeColor="text1"/>
                <w:szCs w:val="20"/>
              </w:rPr>
              <w:t>Output 2.1, Output 2.2, Output 3.2</w:t>
            </w:r>
          </w:p>
        </w:tc>
      </w:tr>
      <w:bookmarkEnd w:id="1"/>
    </w:tbl>
    <w:p w14:paraId="3731A491" w14:textId="3E26CE97" w:rsidR="00DD1DA6" w:rsidRPr="00CD3D9C" w:rsidRDefault="00DD1DA6" w:rsidP="001134F6">
      <w:pPr>
        <w:rPr>
          <w:iCs/>
          <w:color w:val="C45911" w:themeColor="accent2" w:themeShade="BF"/>
          <w:szCs w:val="20"/>
        </w:rPr>
      </w:pPr>
    </w:p>
    <w:p w14:paraId="4BCC53CB" w14:textId="77777777" w:rsidR="00AE6F74" w:rsidRPr="00CD3D9C" w:rsidRDefault="00AE6F74">
      <w:pPr>
        <w:spacing w:after="160" w:line="259" w:lineRule="auto"/>
        <w:rPr>
          <w:b/>
          <w:bCs/>
          <w:iCs/>
          <w:color w:val="000000" w:themeColor="text1"/>
          <w:szCs w:val="20"/>
        </w:rPr>
      </w:pPr>
    </w:p>
    <w:p w14:paraId="64A87E7B" w14:textId="77777777" w:rsidR="008A3A0D" w:rsidRPr="00CD3D9C" w:rsidRDefault="008A3A0D">
      <w:pPr>
        <w:spacing w:after="160" w:line="259" w:lineRule="auto"/>
        <w:rPr>
          <w:b/>
          <w:bCs/>
          <w:iCs/>
          <w:color w:val="000000" w:themeColor="text1"/>
          <w:szCs w:val="20"/>
        </w:rPr>
      </w:pPr>
      <w:r w:rsidRPr="00CD3D9C">
        <w:rPr>
          <w:b/>
          <w:bCs/>
          <w:iCs/>
          <w:color w:val="000000" w:themeColor="text1"/>
          <w:szCs w:val="20"/>
        </w:rPr>
        <w:br w:type="page"/>
      </w:r>
    </w:p>
    <w:p w14:paraId="56057EEC" w14:textId="1126EFA9" w:rsidR="00F77519" w:rsidRPr="00CD3D9C" w:rsidRDefault="00F77519" w:rsidP="001134F6">
      <w:pPr>
        <w:rPr>
          <w:b/>
          <w:bCs/>
          <w:iCs/>
          <w:color w:val="000000" w:themeColor="text1"/>
          <w:szCs w:val="20"/>
        </w:rPr>
      </w:pPr>
      <w:r w:rsidRPr="00CD3D9C">
        <w:rPr>
          <w:b/>
          <w:bCs/>
          <w:iCs/>
          <w:color w:val="000000" w:themeColor="text1"/>
          <w:szCs w:val="20"/>
        </w:rPr>
        <w:lastRenderedPageBreak/>
        <w:t>1.</w:t>
      </w:r>
      <w:r w:rsidR="007F314E" w:rsidRPr="00CD3D9C">
        <w:rPr>
          <w:b/>
          <w:bCs/>
          <w:iCs/>
          <w:color w:val="000000" w:themeColor="text1"/>
          <w:szCs w:val="20"/>
        </w:rPr>
        <w:t>3</w:t>
      </w:r>
      <w:r w:rsidRPr="00CD3D9C">
        <w:rPr>
          <w:b/>
          <w:bCs/>
          <w:iCs/>
          <w:color w:val="000000" w:themeColor="text1"/>
          <w:szCs w:val="20"/>
        </w:rPr>
        <w:t xml:space="preserve"> Stakeholder mapping</w:t>
      </w:r>
      <w:r w:rsidR="004C32CB" w:rsidRPr="00CD3D9C">
        <w:rPr>
          <w:b/>
          <w:bCs/>
          <w:iCs/>
          <w:color w:val="000000" w:themeColor="text1"/>
          <w:szCs w:val="20"/>
        </w:rPr>
        <w:t xml:space="preserve"> and target groups</w:t>
      </w:r>
      <w:r w:rsidR="00E77304" w:rsidRPr="00CD3D9C">
        <w:rPr>
          <w:b/>
          <w:bCs/>
          <w:iCs/>
          <w:color w:val="000000" w:themeColor="text1"/>
          <w:szCs w:val="20"/>
        </w:rPr>
        <w:t xml:space="preserve"> </w:t>
      </w:r>
    </w:p>
    <w:p w14:paraId="16720DB1" w14:textId="77777777" w:rsidR="00DD4E3B" w:rsidRPr="00CD3D9C" w:rsidRDefault="00DD4E3B" w:rsidP="00BF35FC">
      <w:pPr>
        <w:rPr>
          <w:i/>
          <w:color w:val="C45911" w:themeColor="accent2" w:themeShade="BF"/>
          <w:szCs w:val="20"/>
        </w:rPr>
      </w:pPr>
    </w:p>
    <w:p w14:paraId="6F7EA6DF" w14:textId="42638926" w:rsidR="001D3E37" w:rsidRPr="00CD3D9C" w:rsidRDefault="7F360998" w:rsidP="00A67B57">
      <w:bookmarkStart w:id="2" w:name="_Hlk34913895"/>
      <w:r>
        <w:t xml:space="preserve">The Maldives is currently implementing the inception phase of INFF. This includes the set up of a DFA/INFF oversight team, the launch and implementation of the DFA exercise and the development of an INFF roadmap. The DFA will map the existing financing landscape, finance policies and institutional structures of the Maldives and the INFF roadmap will outline the steps that the country needs to undertake to operationalize the INFF in the Maldives. The current DFA/INFF oversight team has been created as a </w:t>
      </w:r>
      <w:r w:rsidRPr="66A1DF9F">
        <w:rPr>
          <w:rFonts w:cstheme="minorBidi"/>
          <w:color w:val="000000" w:themeColor="text1"/>
        </w:rPr>
        <w:t xml:space="preserve">governance and coordination mechanism </w:t>
      </w:r>
      <w:r w:rsidRPr="66A1DF9F">
        <w:rPr>
          <w:rFonts w:eastAsia="Times New Roman" w:cstheme="minorBidi"/>
          <w:color w:val="000000" w:themeColor="text1"/>
        </w:rPr>
        <w:t xml:space="preserve">to oversee the DFA/INFF inception phase (see Table 3 in Section 3.1 for its current composition). The oversight team has endorsed the scope of the DFA, it will validate the initial and final findings of the DFA and </w:t>
      </w:r>
      <w:r>
        <w:t xml:space="preserve">the steps </w:t>
      </w:r>
      <w:r w:rsidR="08EFAABB">
        <w:t>that need to be taken</w:t>
      </w:r>
      <w:r>
        <w:t xml:space="preserve"> to strengthen an integrated approach to financing</w:t>
      </w:r>
      <w:r w:rsidR="08EFAABB">
        <w:t xml:space="preserve">. The latter will form the </w:t>
      </w:r>
      <w:r w:rsidRPr="66A1DF9F">
        <w:rPr>
          <w:rFonts w:eastAsia="Times New Roman" w:cstheme="minorBidi"/>
          <w:color w:val="000000" w:themeColor="text1"/>
        </w:rPr>
        <w:t>INFF roadmap. The oversight team is currently supported by a technical team that leads the overall management of the DFA process and contributes to the data collection and analysis process. The oversight team is also responsible for enhancing the dialogue on the INFF process in the Maldives.</w:t>
      </w:r>
    </w:p>
    <w:bookmarkEnd w:id="2"/>
    <w:p w14:paraId="665FB15E" w14:textId="77777777" w:rsidR="00537040" w:rsidRPr="00CD3D9C" w:rsidRDefault="00537040" w:rsidP="00A67B57">
      <w:pPr>
        <w:rPr>
          <w:rFonts w:eastAsia="Times New Roman" w:cstheme="minorHAnsi"/>
          <w:color w:val="000000"/>
          <w:szCs w:val="20"/>
        </w:rPr>
      </w:pPr>
    </w:p>
    <w:p w14:paraId="2646A0E5" w14:textId="7A4759E4" w:rsidR="008C193B" w:rsidRPr="00CD3D9C" w:rsidRDefault="283398DF" w:rsidP="00A67B57">
      <w:r w:rsidRPr="66A1DF9F">
        <w:rPr>
          <w:rFonts w:eastAsia="Times New Roman" w:cstheme="minorBidi"/>
          <w:color w:val="000000" w:themeColor="text1"/>
        </w:rPr>
        <w:t>Under the JP, the current</w:t>
      </w:r>
      <w:r w:rsidR="56394966" w:rsidRPr="66A1DF9F">
        <w:rPr>
          <w:rFonts w:cstheme="minorBidi"/>
          <w:color w:val="000000" w:themeColor="text1"/>
        </w:rPr>
        <w:t xml:space="preserve"> </w:t>
      </w:r>
      <w:r w:rsidR="072F3518" w:rsidRPr="66A1DF9F">
        <w:rPr>
          <w:rFonts w:cstheme="minorBidi"/>
          <w:color w:val="000000" w:themeColor="text1"/>
        </w:rPr>
        <w:t>oversight team</w:t>
      </w:r>
      <w:r w:rsidR="56394966" w:rsidRPr="66A1DF9F">
        <w:rPr>
          <w:rFonts w:cstheme="minorBidi"/>
          <w:color w:val="000000" w:themeColor="text1"/>
        </w:rPr>
        <w:t xml:space="preserve"> will </w:t>
      </w:r>
      <w:r w:rsidRPr="66A1DF9F">
        <w:rPr>
          <w:rFonts w:cstheme="minorBidi"/>
          <w:color w:val="000000" w:themeColor="text1"/>
        </w:rPr>
        <w:t>be consolidated</w:t>
      </w:r>
      <w:r w:rsidR="56394966" w:rsidRPr="66A1DF9F">
        <w:rPr>
          <w:rFonts w:cstheme="minorBidi"/>
          <w:color w:val="000000" w:themeColor="text1"/>
        </w:rPr>
        <w:t xml:space="preserve"> </w:t>
      </w:r>
      <w:r w:rsidR="072F3518" w:rsidRPr="66A1DF9F">
        <w:rPr>
          <w:rFonts w:cstheme="minorBidi"/>
          <w:color w:val="000000" w:themeColor="text1"/>
        </w:rPr>
        <w:t xml:space="preserve">into a </w:t>
      </w:r>
      <w:r w:rsidR="48786DBA" w:rsidRPr="66A1DF9F">
        <w:rPr>
          <w:rFonts w:cstheme="minorBidi"/>
          <w:color w:val="000000" w:themeColor="text1"/>
        </w:rPr>
        <w:t>full-fledged</w:t>
      </w:r>
      <w:r w:rsidR="0990FA61" w:rsidRPr="66A1DF9F">
        <w:rPr>
          <w:rFonts w:cstheme="minorBidi"/>
          <w:color w:val="000000" w:themeColor="text1"/>
        </w:rPr>
        <w:t xml:space="preserve"> </w:t>
      </w:r>
      <w:r w:rsidR="32A61802" w:rsidRPr="66A1DF9F">
        <w:rPr>
          <w:rFonts w:cstheme="minorBidi"/>
          <w:color w:val="000000" w:themeColor="text1"/>
        </w:rPr>
        <w:t>gender balanced</w:t>
      </w:r>
      <w:r w:rsidR="48786DBA" w:rsidRPr="66A1DF9F">
        <w:rPr>
          <w:rFonts w:cstheme="minorBidi"/>
          <w:color w:val="000000" w:themeColor="text1"/>
        </w:rPr>
        <w:t xml:space="preserve"> </w:t>
      </w:r>
      <w:r w:rsidR="072F3518" w:rsidRPr="66A1DF9F">
        <w:rPr>
          <w:rFonts w:cstheme="minorBidi"/>
          <w:color w:val="000000" w:themeColor="text1"/>
        </w:rPr>
        <w:t xml:space="preserve">INFF Oversight Committee </w:t>
      </w:r>
      <w:r w:rsidRPr="66A1DF9F">
        <w:rPr>
          <w:rFonts w:cstheme="minorBidi"/>
          <w:color w:val="000000" w:themeColor="text1"/>
        </w:rPr>
        <w:t xml:space="preserve">as the current scope of the oversight team is limited to the DFA and INFF roadmap development process. The INFF </w:t>
      </w:r>
      <w:r w:rsidR="072F3518" w:rsidRPr="66A1DF9F">
        <w:rPr>
          <w:rFonts w:cstheme="minorBidi"/>
          <w:color w:val="000000" w:themeColor="text1"/>
        </w:rPr>
        <w:t>Oversight C</w:t>
      </w:r>
      <w:r w:rsidRPr="66A1DF9F">
        <w:rPr>
          <w:rFonts w:cstheme="minorBidi"/>
          <w:color w:val="000000" w:themeColor="text1"/>
        </w:rPr>
        <w:t xml:space="preserve">ommittee through support from the JP </w:t>
      </w:r>
      <w:r w:rsidR="56394966" w:rsidRPr="66A1DF9F">
        <w:rPr>
          <w:rFonts w:cstheme="minorBidi"/>
          <w:color w:val="000000" w:themeColor="text1"/>
        </w:rPr>
        <w:t xml:space="preserve">will </w:t>
      </w:r>
      <w:r w:rsidRPr="66A1DF9F">
        <w:rPr>
          <w:rFonts w:cstheme="minorBidi"/>
          <w:color w:val="000000" w:themeColor="text1"/>
        </w:rPr>
        <w:t>have the</w:t>
      </w:r>
      <w:r w:rsidR="56394966" w:rsidRPr="66A1DF9F">
        <w:rPr>
          <w:rFonts w:cstheme="minorBidi"/>
          <w:color w:val="000000" w:themeColor="text1"/>
        </w:rPr>
        <w:t xml:space="preserve"> mandate </w:t>
      </w:r>
      <w:r w:rsidRPr="66A1DF9F">
        <w:rPr>
          <w:rFonts w:cstheme="minorBidi"/>
          <w:color w:val="000000" w:themeColor="text1"/>
        </w:rPr>
        <w:t>to lead the process of</w:t>
      </w:r>
      <w:r w:rsidR="56394966" w:rsidRPr="66A1DF9F">
        <w:rPr>
          <w:color w:val="000000" w:themeColor="text1"/>
        </w:rPr>
        <w:t xml:space="preserve"> operationalising </w:t>
      </w:r>
      <w:r w:rsidRPr="66A1DF9F">
        <w:rPr>
          <w:color w:val="000000" w:themeColor="text1"/>
        </w:rPr>
        <w:t>the</w:t>
      </w:r>
      <w:r w:rsidR="56394966" w:rsidRPr="66A1DF9F">
        <w:rPr>
          <w:color w:val="000000" w:themeColor="text1"/>
        </w:rPr>
        <w:t xml:space="preserve"> INFF in the country. They will provide substantive guidance, convene stakeholders and guide the implementation of the INFF Roadmap and other INFF reform initiatives, including the </w:t>
      </w:r>
      <w:r w:rsidRPr="66A1DF9F">
        <w:rPr>
          <w:color w:val="000000" w:themeColor="text1"/>
        </w:rPr>
        <w:t xml:space="preserve">design </w:t>
      </w:r>
      <w:r w:rsidR="56394966" w:rsidRPr="66A1DF9F">
        <w:rPr>
          <w:color w:val="000000" w:themeColor="text1"/>
        </w:rPr>
        <w:t xml:space="preserve">of a </w:t>
      </w:r>
      <w:r w:rsidRPr="66A1DF9F">
        <w:rPr>
          <w:color w:val="000000" w:themeColor="text1"/>
        </w:rPr>
        <w:t xml:space="preserve">National </w:t>
      </w:r>
      <w:r w:rsidR="56394966" w:rsidRPr="66A1DF9F">
        <w:rPr>
          <w:color w:val="000000" w:themeColor="text1"/>
        </w:rPr>
        <w:t>Integrated Financing Strategy</w:t>
      </w:r>
      <w:r w:rsidRPr="66A1DF9F">
        <w:rPr>
          <w:color w:val="000000" w:themeColor="text1"/>
        </w:rPr>
        <w:t xml:space="preserve"> (JP Output 2.1)</w:t>
      </w:r>
      <w:r w:rsidR="56394966">
        <w:t>.</w:t>
      </w:r>
      <w:r>
        <w:t xml:space="preserve"> </w:t>
      </w:r>
      <w:bookmarkStart w:id="3" w:name="_Hlk36291126"/>
      <w:bookmarkStart w:id="4" w:name="_Hlk35768624"/>
      <w:r w:rsidR="7D0CEF46">
        <w:t>A key role of the INFF Oversight Committee would be to identify differential impacts of policies and financing decisions on women and men, gender equality and women’s empowerment.</w:t>
      </w:r>
      <w:bookmarkEnd w:id="3"/>
    </w:p>
    <w:p w14:paraId="07ED9FB8" w14:textId="77777777" w:rsidR="008C193B" w:rsidRPr="00CD3D9C" w:rsidRDefault="008C193B" w:rsidP="00A67B57">
      <w:pPr>
        <w:rPr>
          <w:szCs w:val="20"/>
        </w:rPr>
      </w:pPr>
    </w:p>
    <w:bookmarkEnd w:id="4"/>
    <w:p w14:paraId="2B95C254" w14:textId="307C750B" w:rsidR="009E2325" w:rsidRPr="00CD3D9C" w:rsidRDefault="283398DF" w:rsidP="00A67B57">
      <w:r>
        <w:t xml:space="preserve">The chair and co-chair of this INFF </w:t>
      </w:r>
      <w:r w:rsidR="072F3518">
        <w:t>O</w:t>
      </w:r>
      <w:r>
        <w:t xml:space="preserve">versight </w:t>
      </w:r>
      <w:r w:rsidR="072F3518">
        <w:t>C</w:t>
      </w:r>
      <w:r>
        <w:t xml:space="preserve">ommittee is represented by the Ministry of Finance and the Ministry of </w:t>
      </w:r>
      <w:r w:rsidR="4B4FFBB6">
        <w:t xml:space="preserve">National </w:t>
      </w:r>
      <w:r>
        <w:t xml:space="preserve">Planning and Infrastructure respectively. The two ministries will be the main government partners for the JP (see Figure 1, below). </w:t>
      </w:r>
      <w:r w:rsidR="52004B14">
        <w:t xml:space="preserve">Other key members of the INFF oversight committee would provide substantive inputs, guidance and facilitation of </w:t>
      </w:r>
      <w:r w:rsidR="0260E41B">
        <w:t>JP</w:t>
      </w:r>
      <w:r w:rsidR="52004B14">
        <w:t xml:space="preserve"> activities. This</w:t>
      </w:r>
      <w:r w:rsidR="336B8564">
        <w:t xml:space="preserve"> currently</w:t>
      </w:r>
      <w:r w:rsidR="52004B14">
        <w:t xml:space="preserve"> includes the Policy Office of the </w:t>
      </w:r>
      <w:r w:rsidR="169318B8">
        <w:t xml:space="preserve">Office of the </w:t>
      </w:r>
      <w:r w:rsidR="52004B14">
        <w:t>President</w:t>
      </w:r>
      <w:r w:rsidR="169318B8">
        <w:t>,</w:t>
      </w:r>
      <w:r w:rsidR="52004B14">
        <w:t xml:space="preserve"> which is currently overseeing the implementation of the five year national development framework</w:t>
      </w:r>
      <w:r w:rsidR="169318B8">
        <w:t>;</w:t>
      </w:r>
      <w:r w:rsidR="52004B14">
        <w:t xml:space="preserve"> the S</w:t>
      </w:r>
      <w:r w:rsidR="2A834653">
        <w:t>AP</w:t>
      </w:r>
      <w:r w:rsidR="169318B8">
        <w:t>;</w:t>
      </w:r>
      <w:r w:rsidR="52004B14">
        <w:t xml:space="preserve"> oversight bodies such as the Parliament’s Public Finance Committee</w:t>
      </w:r>
      <w:r w:rsidR="169318B8">
        <w:t>;</w:t>
      </w:r>
      <w:r w:rsidR="52004B14">
        <w:t xml:space="preserve"> </w:t>
      </w:r>
      <w:r w:rsidR="169318B8">
        <w:t xml:space="preserve">and </w:t>
      </w:r>
      <w:r w:rsidR="52004B14">
        <w:t>the Auditor General’s Office</w:t>
      </w:r>
      <w:r w:rsidR="169318B8">
        <w:t>.</w:t>
      </w:r>
      <w:r w:rsidR="08EFAABB">
        <w:t xml:space="preserve"> </w:t>
      </w:r>
      <w:r w:rsidR="169318B8">
        <w:t>The Office of the President also oversees</w:t>
      </w:r>
      <w:r w:rsidR="52004B14">
        <w:t xml:space="preserve"> technical and data input from the Maldives Monetary Authority (central bank</w:t>
      </w:r>
      <w:r w:rsidR="169318B8">
        <w:t xml:space="preserve">); </w:t>
      </w:r>
      <w:r w:rsidR="52004B14">
        <w:t>the National Bureau of Statistics</w:t>
      </w:r>
      <w:r w:rsidR="169318B8">
        <w:t>;</w:t>
      </w:r>
      <w:r w:rsidR="52004B14">
        <w:t xml:space="preserve"> and the Local Government Authority that is coordinating the ongoing decentralization reforms</w:t>
      </w:r>
      <w:r w:rsidR="169318B8">
        <w:t>,</w:t>
      </w:r>
      <w:r w:rsidR="52004B14">
        <w:t xml:space="preserve"> which includes fiscal decentralization and greater autonomy to local councils to raise financing for </w:t>
      </w:r>
      <w:r w:rsidR="2A834653">
        <w:t>island level service delivery.</w:t>
      </w:r>
    </w:p>
    <w:p w14:paraId="5BA0125D" w14:textId="1A223A89" w:rsidR="00265D3E" w:rsidRPr="00CD3D9C" w:rsidRDefault="00265D3E" w:rsidP="00A67B57">
      <w:pPr>
        <w:rPr>
          <w:szCs w:val="20"/>
        </w:rPr>
      </w:pPr>
    </w:p>
    <w:p w14:paraId="2F662788" w14:textId="11200C83" w:rsidR="00C45A6C" w:rsidRPr="00CD3D9C" w:rsidRDefault="008C12C3" w:rsidP="00A67B57">
      <w:pPr>
        <w:rPr>
          <w:szCs w:val="20"/>
        </w:rPr>
      </w:pPr>
      <w:r w:rsidRPr="00CD3D9C">
        <w:rPr>
          <w:szCs w:val="20"/>
        </w:rPr>
        <w:t>The JP</w:t>
      </w:r>
      <w:r w:rsidR="00DD4E3B" w:rsidRPr="00CD3D9C">
        <w:rPr>
          <w:szCs w:val="20"/>
        </w:rPr>
        <w:t xml:space="preserve"> activities </w:t>
      </w:r>
      <w:r w:rsidRPr="00CD3D9C">
        <w:rPr>
          <w:szCs w:val="20"/>
        </w:rPr>
        <w:t>target</w:t>
      </w:r>
      <w:r w:rsidR="00DD4E3B" w:rsidRPr="00CD3D9C">
        <w:rPr>
          <w:szCs w:val="20"/>
        </w:rPr>
        <w:t xml:space="preserve"> a range of ministries including the Ministry of Finance</w:t>
      </w:r>
      <w:r w:rsidR="002E1514">
        <w:rPr>
          <w:szCs w:val="20"/>
        </w:rPr>
        <w:t>;</w:t>
      </w:r>
      <w:r w:rsidR="00DD4E3B" w:rsidRPr="00CD3D9C">
        <w:rPr>
          <w:szCs w:val="20"/>
        </w:rPr>
        <w:t xml:space="preserve"> the Ministry of </w:t>
      </w:r>
      <w:r w:rsidR="00BA6A29">
        <w:rPr>
          <w:szCs w:val="20"/>
        </w:rPr>
        <w:t xml:space="preserve">National </w:t>
      </w:r>
      <w:r w:rsidR="00DD4E3B" w:rsidRPr="00CD3D9C">
        <w:rPr>
          <w:szCs w:val="20"/>
        </w:rPr>
        <w:t>Planning and Infrastructure</w:t>
      </w:r>
      <w:r w:rsidR="002E1514">
        <w:rPr>
          <w:szCs w:val="20"/>
        </w:rPr>
        <w:t>;</w:t>
      </w:r>
      <w:r w:rsidR="00DD4E3B" w:rsidRPr="00CD3D9C">
        <w:rPr>
          <w:szCs w:val="20"/>
        </w:rPr>
        <w:t xml:space="preserve"> </w:t>
      </w:r>
      <w:r w:rsidR="00C45A6C" w:rsidRPr="00CD3D9C">
        <w:rPr>
          <w:szCs w:val="20"/>
        </w:rPr>
        <w:t>Ministry of Foreign Affairs</w:t>
      </w:r>
      <w:r w:rsidR="002E1514">
        <w:rPr>
          <w:szCs w:val="20"/>
        </w:rPr>
        <w:t>,</w:t>
      </w:r>
      <w:r w:rsidR="00587DEB" w:rsidRPr="00CD3D9C">
        <w:rPr>
          <w:szCs w:val="20"/>
        </w:rPr>
        <w:t xml:space="preserve"> which has recently launched a new aid coordination mechanism</w:t>
      </w:r>
      <w:r w:rsidR="002E1514">
        <w:rPr>
          <w:szCs w:val="20"/>
        </w:rPr>
        <w:t>;</w:t>
      </w:r>
      <w:r w:rsidR="00C45A6C" w:rsidRPr="00CD3D9C">
        <w:rPr>
          <w:szCs w:val="20"/>
        </w:rPr>
        <w:t xml:space="preserve"> the Ministry of Economic Development</w:t>
      </w:r>
      <w:r w:rsidR="002E1514">
        <w:rPr>
          <w:szCs w:val="20"/>
        </w:rPr>
        <w:t>;</w:t>
      </w:r>
      <w:r w:rsidR="002E1514" w:rsidRPr="00CD3D9C">
        <w:rPr>
          <w:szCs w:val="20"/>
        </w:rPr>
        <w:t xml:space="preserve"> </w:t>
      </w:r>
      <w:r w:rsidR="00C45A6C" w:rsidRPr="00CD3D9C">
        <w:rPr>
          <w:szCs w:val="20"/>
        </w:rPr>
        <w:t>Ministry of Environment</w:t>
      </w:r>
      <w:r w:rsidR="002E1514">
        <w:rPr>
          <w:szCs w:val="20"/>
        </w:rPr>
        <w:t>;</w:t>
      </w:r>
      <w:r w:rsidR="002E1514" w:rsidRPr="00CD3D9C">
        <w:rPr>
          <w:szCs w:val="20"/>
        </w:rPr>
        <w:t xml:space="preserve"> </w:t>
      </w:r>
      <w:r w:rsidR="00C45A6C" w:rsidRPr="00CD3D9C">
        <w:rPr>
          <w:szCs w:val="20"/>
        </w:rPr>
        <w:t>Ministry of Health</w:t>
      </w:r>
      <w:r w:rsidR="002E1514">
        <w:rPr>
          <w:szCs w:val="20"/>
        </w:rPr>
        <w:t>;</w:t>
      </w:r>
      <w:r w:rsidR="002E1514" w:rsidRPr="00CD3D9C">
        <w:rPr>
          <w:szCs w:val="20"/>
        </w:rPr>
        <w:t xml:space="preserve"> </w:t>
      </w:r>
      <w:r w:rsidR="00C45A6C" w:rsidRPr="00CD3D9C">
        <w:rPr>
          <w:szCs w:val="20"/>
        </w:rPr>
        <w:t>Ministry of Education</w:t>
      </w:r>
      <w:r w:rsidR="002E1514">
        <w:rPr>
          <w:szCs w:val="20"/>
        </w:rPr>
        <w:t>;</w:t>
      </w:r>
      <w:r w:rsidR="002E1514" w:rsidRPr="00CD3D9C">
        <w:rPr>
          <w:szCs w:val="20"/>
        </w:rPr>
        <w:t xml:space="preserve"> </w:t>
      </w:r>
      <w:r w:rsidR="008B4CAD" w:rsidRPr="00CD3D9C">
        <w:rPr>
          <w:szCs w:val="20"/>
        </w:rPr>
        <w:t>Ministry of Higher Education</w:t>
      </w:r>
      <w:r w:rsidR="002E1514">
        <w:rPr>
          <w:szCs w:val="20"/>
        </w:rPr>
        <w:t>; and the</w:t>
      </w:r>
      <w:r w:rsidR="002E1514" w:rsidRPr="00CD3D9C">
        <w:rPr>
          <w:szCs w:val="20"/>
        </w:rPr>
        <w:t xml:space="preserve"> </w:t>
      </w:r>
      <w:r w:rsidR="00C45A6C" w:rsidRPr="00CD3D9C">
        <w:rPr>
          <w:szCs w:val="20"/>
        </w:rPr>
        <w:t xml:space="preserve">Ministry of Gender, Family and Social Services. </w:t>
      </w:r>
    </w:p>
    <w:p w14:paraId="04297E0E" w14:textId="46D5835A" w:rsidR="00C45A6C" w:rsidRPr="00CD3D9C" w:rsidRDefault="00C45A6C" w:rsidP="00A67B57">
      <w:pPr>
        <w:rPr>
          <w:szCs w:val="20"/>
        </w:rPr>
      </w:pPr>
    </w:p>
    <w:p w14:paraId="081CEA3E" w14:textId="53EA3FE8" w:rsidR="00C45A6C" w:rsidRPr="00CD3D9C" w:rsidRDefault="00BF35FC" w:rsidP="00A67B57">
      <w:pPr>
        <w:rPr>
          <w:szCs w:val="20"/>
        </w:rPr>
      </w:pPr>
      <w:r w:rsidRPr="00CD3D9C">
        <w:rPr>
          <w:szCs w:val="20"/>
        </w:rPr>
        <w:t xml:space="preserve">Similarly, </w:t>
      </w:r>
      <w:r w:rsidR="008C12C3" w:rsidRPr="00CD3D9C">
        <w:rPr>
          <w:szCs w:val="20"/>
        </w:rPr>
        <w:t>the JP</w:t>
      </w:r>
      <w:r w:rsidRPr="00CD3D9C">
        <w:rPr>
          <w:szCs w:val="20"/>
        </w:rPr>
        <w:t xml:space="preserve"> activities </w:t>
      </w:r>
      <w:r w:rsidR="00D76AD8" w:rsidRPr="00CD3D9C">
        <w:rPr>
          <w:szCs w:val="20"/>
        </w:rPr>
        <w:t>target</w:t>
      </w:r>
      <w:r w:rsidRPr="00CD3D9C">
        <w:rPr>
          <w:szCs w:val="20"/>
        </w:rPr>
        <w:t xml:space="preserve"> private sector partners including those represented in the government facilitated platforms such as the business council, trade facilitation committee, and the public-private partnership (PPP) committee. Project activities</w:t>
      </w:r>
      <w:r w:rsidR="00C45A6C" w:rsidRPr="00CD3D9C">
        <w:rPr>
          <w:szCs w:val="20"/>
        </w:rPr>
        <w:t xml:space="preserve"> coordinated with </w:t>
      </w:r>
      <w:bookmarkStart w:id="5" w:name="_Hlk34900202"/>
      <w:r w:rsidR="00C45A6C" w:rsidRPr="00CD3D9C">
        <w:rPr>
          <w:szCs w:val="20"/>
        </w:rPr>
        <w:t xml:space="preserve">private sector entities </w:t>
      </w:r>
      <w:r w:rsidRPr="00CD3D9C">
        <w:rPr>
          <w:szCs w:val="20"/>
        </w:rPr>
        <w:t>that have investment initiatives such as the Morteza Capital (private investment fund)</w:t>
      </w:r>
      <w:r w:rsidR="00EF5517">
        <w:rPr>
          <w:szCs w:val="20"/>
        </w:rPr>
        <w:t>;</w:t>
      </w:r>
      <w:r w:rsidRPr="00CD3D9C">
        <w:rPr>
          <w:szCs w:val="20"/>
        </w:rPr>
        <w:t xml:space="preserve"> the state</w:t>
      </w:r>
      <w:r w:rsidR="00EF5517">
        <w:rPr>
          <w:szCs w:val="20"/>
        </w:rPr>
        <w:t>-</w:t>
      </w:r>
      <w:r w:rsidRPr="00CD3D9C">
        <w:rPr>
          <w:szCs w:val="20"/>
        </w:rPr>
        <w:t>owned enterprise Maldives Fund Management Corporation (MFMC)</w:t>
      </w:r>
      <w:r w:rsidR="00EF5517">
        <w:rPr>
          <w:szCs w:val="20"/>
        </w:rPr>
        <w:t>;</w:t>
      </w:r>
      <w:r w:rsidRPr="00CD3D9C">
        <w:rPr>
          <w:szCs w:val="20"/>
        </w:rPr>
        <w:t xml:space="preserve"> Maldives Pension Administration Office (MPAO)</w:t>
      </w:r>
      <w:r w:rsidR="00EF5517">
        <w:rPr>
          <w:szCs w:val="20"/>
        </w:rPr>
        <w:t>;</w:t>
      </w:r>
      <w:r w:rsidRPr="00CD3D9C">
        <w:rPr>
          <w:szCs w:val="20"/>
        </w:rPr>
        <w:t xml:space="preserve"> Maldives Capital Market Development Authority</w:t>
      </w:r>
      <w:r w:rsidR="00EF5517">
        <w:rPr>
          <w:szCs w:val="20"/>
        </w:rPr>
        <w:t>;</w:t>
      </w:r>
      <w:r w:rsidRPr="00CD3D9C">
        <w:rPr>
          <w:szCs w:val="20"/>
        </w:rPr>
        <w:t xml:space="preserve"> and other business associations such as the Maldives Association of </w:t>
      </w:r>
      <w:r w:rsidRPr="00CD3D9C">
        <w:rPr>
          <w:szCs w:val="20"/>
        </w:rPr>
        <w:lastRenderedPageBreak/>
        <w:t>Tourism Industry (MATI), MATATO and Maldives Association of Construction Industry (MACI). Project activities also aim to target the Maldives Global Compact network that is currently being registered</w:t>
      </w:r>
      <w:r w:rsidR="006D044D" w:rsidRPr="00CD3D9C">
        <w:rPr>
          <w:szCs w:val="20"/>
        </w:rPr>
        <w:t xml:space="preserve"> in the Maldives. </w:t>
      </w:r>
    </w:p>
    <w:bookmarkEnd w:id="5"/>
    <w:p w14:paraId="56CE6C5F" w14:textId="12015225" w:rsidR="00C45A6C" w:rsidRPr="00CD3D9C" w:rsidRDefault="006D044D" w:rsidP="00A67B57">
      <w:pPr>
        <w:rPr>
          <w:szCs w:val="20"/>
        </w:rPr>
      </w:pPr>
      <w:r w:rsidRPr="00CD3D9C">
        <w:rPr>
          <w:szCs w:val="20"/>
        </w:rPr>
        <w:t xml:space="preserve"> </w:t>
      </w:r>
    </w:p>
    <w:p w14:paraId="3C767A48" w14:textId="628FB98D" w:rsidR="007164C5" w:rsidRPr="00CD3D9C" w:rsidRDefault="29B4FCBA" w:rsidP="00A67B57">
      <w:r>
        <w:t>Discussion with key development partners, IFIs and MDBs such as the World Bank, ADB</w:t>
      </w:r>
      <w:r w:rsidR="40C87CE4">
        <w:t>, IsDB</w:t>
      </w:r>
      <w:r>
        <w:t xml:space="preserve"> and USAID has already been initiated to map the ongoing and pipeline projects to leverage areas </w:t>
      </w:r>
      <w:r w:rsidR="785A96D8">
        <w:t>relevant to the JP</w:t>
      </w:r>
      <w:r>
        <w:t>.</w:t>
      </w:r>
      <w:r w:rsidR="336B8564">
        <w:t xml:space="preserve"> JP interventions that support national budget processes</w:t>
      </w:r>
      <w:r w:rsidR="785A96D8">
        <w:t xml:space="preserve"> (JP Output 2.2)</w:t>
      </w:r>
      <w:r w:rsidR="336B8564">
        <w:t xml:space="preserve"> will be closely coordinated with the World Bank, USAID and EU. These are the key partners that are supporting the ongoing Public Finance Management (PFM) reform process of the Government</w:t>
      </w:r>
      <w:r w:rsidR="785A96D8">
        <w:t xml:space="preserve">. </w:t>
      </w:r>
      <w:r w:rsidR="7E22581B">
        <w:t xml:space="preserve">For example, UNICEF is currently partnering with the Ministry of Finance to provide technical advice to the planned, World Bank-assisted, Performance Expenditure Review (PER) to assess efficiency gains in the social service sector spending. Similarly, the </w:t>
      </w:r>
      <w:r w:rsidR="40C87CE4">
        <w:t>ADB</w:t>
      </w:r>
      <w:r w:rsidR="7E22581B">
        <w:t xml:space="preserve"> is currently assisting the Government in reforming the governance </w:t>
      </w:r>
      <w:r w:rsidR="62D03947">
        <w:t xml:space="preserve">of SOEs in order </w:t>
      </w:r>
      <w:r w:rsidR="7E22581B">
        <w:t xml:space="preserve">to </w:t>
      </w:r>
      <w:r w:rsidR="62D03947">
        <w:t>generate</w:t>
      </w:r>
      <w:r w:rsidR="7E22581B">
        <w:t xml:space="preserve"> efficiency gains that would benefit the overall fiscal space if implemented in a rights-based manner.</w:t>
      </w:r>
      <w:r w:rsidR="62D03947">
        <w:t xml:space="preserve"> The JP PUNOs will collaborate closely with the World Bank on these reform initiatives. Other </w:t>
      </w:r>
      <w:r w:rsidR="785A96D8">
        <w:t>reforms</w:t>
      </w:r>
      <w:r w:rsidR="62D03947">
        <w:t xml:space="preserve"> supported by the partners related to PFM</w:t>
      </w:r>
      <w:r w:rsidR="785A96D8">
        <w:t xml:space="preserve"> </w:t>
      </w:r>
      <w:r w:rsidR="7BBD9A91">
        <w:t>consist</w:t>
      </w:r>
      <w:r w:rsidR="785A96D8">
        <w:t xml:space="preserve"> of </w:t>
      </w:r>
      <w:r w:rsidR="336B8564">
        <w:t xml:space="preserve">cash and debt management strategy, medium term fiscal framework development, transition to programme based budgeting and tax reforms. UNDP has conducted direct </w:t>
      </w:r>
      <w:r w:rsidR="5560FFDD">
        <w:t xml:space="preserve">consultations with ADB and IsDB </w:t>
      </w:r>
      <w:r w:rsidR="336B8564">
        <w:t>on building in their role</w:t>
      </w:r>
      <w:r w:rsidR="5560FFDD">
        <w:t xml:space="preserve"> </w:t>
      </w:r>
      <w:r w:rsidR="785A96D8">
        <w:t>for implementing the</w:t>
      </w:r>
      <w:r w:rsidR="5560FFDD">
        <w:t xml:space="preserve"> proposed capacity</w:t>
      </w:r>
      <w:r w:rsidR="336B8564">
        <w:t xml:space="preserve"> development</w:t>
      </w:r>
      <w:r w:rsidR="5560FFDD">
        <w:t xml:space="preserve"> support to private sector actors and climate finance advocacy</w:t>
      </w:r>
      <w:r w:rsidR="785A96D8">
        <w:t xml:space="preserve"> activities</w:t>
      </w:r>
      <w:r w:rsidR="5560FFDD">
        <w:t xml:space="preserve"> in the JP</w:t>
      </w:r>
      <w:r w:rsidR="785A96D8">
        <w:t xml:space="preserve"> Output 2.2</w:t>
      </w:r>
      <w:r w:rsidR="5560FFDD">
        <w:t>.</w:t>
      </w:r>
      <w:r w:rsidR="08EFAABB">
        <w:t xml:space="preserve"> Both ADB and IsDB have reviewed the draft proposal and the dialogue is ongoing to reach a concrete partnership by the time of the JP roll out.</w:t>
      </w:r>
      <w:r w:rsidR="1A6F9F65">
        <w:t xml:space="preserve"> </w:t>
      </w:r>
    </w:p>
    <w:p w14:paraId="1981F880" w14:textId="10B7F31F" w:rsidR="008C5ABC" w:rsidRDefault="008C5ABC" w:rsidP="00A67B57">
      <w:pPr>
        <w:rPr>
          <w:szCs w:val="20"/>
        </w:rPr>
      </w:pPr>
    </w:p>
    <w:p w14:paraId="35E84F88" w14:textId="6A3348EC" w:rsidR="007164C5" w:rsidRDefault="00AC0C45" w:rsidP="00A67B57">
      <w:pPr>
        <w:rPr>
          <w:szCs w:val="20"/>
        </w:rPr>
      </w:pPr>
      <w:r w:rsidRPr="00CD3D9C">
        <w:rPr>
          <w:szCs w:val="20"/>
        </w:rPr>
        <w:t xml:space="preserve">On revisiting the national SDGs agenda, the Government is </w:t>
      </w:r>
      <w:r w:rsidR="00D766E0" w:rsidRPr="00CD3D9C">
        <w:rPr>
          <w:szCs w:val="20"/>
        </w:rPr>
        <w:t xml:space="preserve">working </w:t>
      </w:r>
      <w:r w:rsidRPr="00CD3D9C">
        <w:rPr>
          <w:szCs w:val="20"/>
        </w:rPr>
        <w:t>with</w:t>
      </w:r>
      <w:r w:rsidR="007164C5" w:rsidRPr="00CD3D9C">
        <w:rPr>
          <w:szCs w:val="20"/>
        </w:rPr>
        <w:t xml:space="preserve"> UNESCAP to </w:t>
      </w:r>
      <w:r w:rsidR="00D766E0" w:rsidRPr="00CD3D9C">
        <w:rPr>
          <w:szCs w:val="20"/>
        </w:rPr>
        <w:t>mobilise</w:t>
      </w:r>
      <w:r w:rsidR="007164C5" w:rsidRPr="00CD3D9C">
        <w:rPr>
          <w:szCs w:val="20"/>
        </w:rPr>
        <w:t xml:space="preserve"> capacity building support to update the SDG baseline data </w:t>
      </w:r>
      <w:r w:rsidR="006D5184" w:rsidRPr="00CD3D9C">
        <w:rPr>
          <w:szCs w:val="20"/>
        </w:rPr>
        <w:t>to determine</w:t>
      </w:r>
      <w:r w:rsidR="007164C5" w:rsidRPr="00CD3D9C">
        <w:rPr>
          <w:szCs w:val="20"/>
        </w:rPr>
        <w:t xml:space="preserve"> Maldives</w:t>
      </w:r>
      <w:r w:rsidR="006D5184" w:rsidRPr="00CD3D9C">
        <w:rPr>
          <w:szCs w:val="20"/>
        </w:rPr>
        <w:t xml:space="preserve"> SDG</w:t>
      </w:r>
      <w:r w:rsidR="007164C5" w:rsidRPr="00CD3D9C">
        <w:rPr>
          <w:szCs w:val="20"/>
        </w:rPr>
        <w:t xml:space="preserve"> performance</w:t>
      </w:r>
      <w:r w:rsidRPr="00CD3D9C">
        <w:rPr>
          <w:szCs w:val="20"/>
        </w:rPr>
        <w:t xml:space="preserve"> status</w:t>
      </w:r>
      <w:r w:rsidR="007164C5" w:rsidRPr="00CD3D9C">
        <w:rPr>
          <w:szCs w:val="20"/>
        </w:rPr>
        <w:t xml:space="preserve">. </w:t>
      </w:r>
      <w:r w:rsidR="00D766E0" w:rsidRPr="00CD3D9C">
        <w:rPr>
          <w:szCs w:val="20"/>
        </w:rPr>
        <w:t>UNDESA is providing support through the UN Resident Coordinator’s Office (RCO) to undertake a partnership landscape assessment for implementing and accelerating SDGs in the Maldives. This assessment will conclude with a</w:t>
      </w:r>
      <w:r w:rsidR="007164C5" w:rsidRPr="00CD3D9C">
        <w:rPr>
          <w:szCs w:val="20"/>
        </w:rPr>
        <w:t xml:space="preserve"> National Partnership Training Workshop </w:t>
      </w:r>
      <w:r w:rsidR="00B1546E">
        <w:rPr>
          <w:szCs w:val="20"/>
        </w:rPr>
        <w:t xml:space="preserve">that </w:t>
      </w:r>
      <w:r w:rsidR="00D766E0" w:rsidRPr="00CD3D9C">
        <w:rPr>
          <w:szCs w:val="20"/>
        </w:rPr>
        <w:t xml:space="preserve">will aim </w:t>
      </w:r>
      <w:r w:rsidR="007164C5" w:rsidRPr="00CD3D9C">
        <w:rPr>
          <w:szCs w:val="20"/>
        </w:rPr>
        <w:t>to complete this stakeholder mapping process</w:t>
      </w:r>
      <w:r w:rsidR="00D766E0" w:rsidRPr="00CD3D9C">
        <w:rPr>
          <w:szCs w:val="20"/>
        </w:rPr>
        <w:t xml:space="preserve"> for SDGs implementation and financing</w:t>
      </w:r>
      <w:r w:rsidR="007164C5" w:rsidRPr="00CD3D9C">
        <w:rPr>
          <w:szCs w:val="20"/>
        </w:rPr>
        <w:t>. The partnership landscape assessment of Maldives</w:t>
      </w:r>
      <w:r w:rsidRPr="00CD3D9C">
        <w:rPr>
          <w:szCs w:val="20"/>
        </w:rPr>
        <w:t xml:space="preserve"> </w:t>
      </w:r>
      <w:r w:rsidR="00D766E0" w:rsidRPr="00CD3D9C">
        <w:rPr>
          <w:szCs w:val="20"/>
        </w:rPr>
        <w:t xml:space="preserve">is expected to be completed </w:t>
      </w:r>
      <w:r w:rsidR="00050222">
        <w:rPr>
          <w:szCs w:val="20"/>
        </w:rPr>
        <w:t>at the end</w:t>
      </w:r>
      <w:r w:rsidR="00D766E0" w:rsidRPr="00CD3D9C">
        <w:rPr>
          <w:szCs w:val="20"/>
        </w:rPr>
        <w:t xml:space="preserve"> </w:t>
      </w:r>
      <w:r w:rsidR="00050222">
        <w:rPr>
          <w:szCs w:val="20"/>
        </w:rPr>
        <w:t xml:space="preserve">April 2020. </w:t>
      </w:r>
    </w:p>
    <w:p w14:paraId="4C817142" w14:textId="77777777" w:rsidR="00FF33A9" w:rsidRPr="00CD3D9C" w:rsidRDefault="00FF33A9" w:rsidP="00D766E0">
      <w:pPr>
        <w:jc w:val="both"/>
        <w:rPr>
          <w:szCs w:val="20"/>
        </w:rPr>
      </w:pPr>
    </w:p>
    <w:tbl>
      <w:tblPr>
        <w:tblStyle w:val="TableGrid"/>
        <w:tblW w:w="0" w:type="auto"/>
        <w:tblLook w:val="04A0" w:firstRow="1" w:lastRow="0" w:firstColumn="1" w:lastColumn="0" w:noHBand="0" w:noVBand="1"/>
      </w:tblPr>
      <w:tblGrid>
        <w:gridCol w:w="9350"/>
      </w:tblGrid>
      <w:tr w:rsidR="009D7FDF" w:rsidRPr="00CD3D9C" w14:paraId="312CEBDD" w14:textId="77777777" w:rsidTr="009D7FDF">
        <w:tc>
          <w:tcPr>
            <w:tcW w:w="9350" w:type="dxa"/>
          </w:tcPr>
          <w:p w14:paraId="693BAB71" w14:textId="23EE12EC" w:rsidR="009D7FDF" w:rsidRPr="00CD3D9C" w:rsidRDefault="009D7FDF" w:rsidP="00C45A6C">
            <w:pPr>
              <w:rPr>
                <w:szCs w:val="20"/>
              </w:rPr>
            </w:pPr>
            <w:r w:rsidRPr="00CD3D9C">
              <w:rPr>
                <w:szCs w:val="20"/>
              </w:rPr>
              <w:t xml:space="preserve">Figure 1 – Stakeholder mapping </w:t>
            </w:r>
          </w:p>
        </w:tc>
      </w:tr>
      <w:tr w:rsidR="009D7FDF" w:rsidRPr="00CD3D9C" w14:paraId="64F9DF18" w14:textId="77777777" w:rsidTr="009D7FDF">
        <w:tc>
          <w:tcPr>
            <w:tcW w:w="9350" w:type="dxa"/>
          </w:tcPr>
          <w:p w14:paraId="236140A6" w14:textId="28FE7421" w:rsidR="009D7FDF" w:rsidRPr="00CD3D9C" w:rsidRDefault="00802488" w:rsidP="00C45A6C">
            <w:pPr>
              <w:rPr>
                <w:szCs w:val="20"/>
              </w:rPr>
            </w:pPr>
            <w:r w:rsidRPr="00CD3D9C">
              <w:rPr>
                <w:noProof/>
                <w:szCs w:val="20"/>
              </w:rPr>
              <w:drawing>
                <wp:inline distT="0" distB="0" distL="0" distR="0" wp14:anchorId="44B9F1C7" wp14:editId="01330AF2">
                  <wp:extent cx="5810250" cy="286701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2"/>
                          <a:srcRect l="3846" t="13676" r="-961" b="-855"/>
                          <a:stretch/>
                        </pic:blipFill>
                        <pic:spPr bwMode="auto">
                          <a:xfrm>
                            <a:off x="0" y="0"/>
                            <a:ext cx="5910430" cy="2916449"/>
                          </a:xfrm>
                          <a:prstGeom prst="rect">
                            <a:avLst/>
                          </a:prstGeom>
                          <a:ln>
                            <a:noFill/>
                          </a:ln>
                          <a:extLst>
                            <a:ext uri="{53640926-AAD7-44D8-BBD7-CCE9431645EC}">
                              <a14:shadowObscured xmlns:a14="http://schemas.microsoft.com/office/drawing/2010/main"/>
                            </a:ext>
                          </a:extLst>
                        </pic:spPr>
                      </pic:pic>
                    </a:graphicData>
                  </a:graphic>
                </wp:inline>
              </w:drawing>
            </w:r>
          </w:p>
        </w:tc>
      </w:tr>
    </w:tbl>
    <w:p w14:paraId="729772E9" w14:textId="1A8112D7" w:rsidR="009A4EA4" w:rsidRPr="00B32A89" w:rsidRDefault="3AC861A7" w:rsidP="66A1DF9F">
      <w:pPr>
        <w:rPr>
          <w:b/>
          <w:bCs/>
          <w:color w:val="0070C0"/>
        </w:rPr>
      </w:pPr>
      <w:r w:rsidRPr="66A1DF9F">
        <w:rPr>
          <w:b/>
          <w:bCs/>
          <w:color w:val="0070C0"/>
        </w:rPr>
        <w:lastRenderedPageBreak/>
        <w:t>2</w:t>
      </w:r>
      <w:r w:rsidR="56E0D9C5" w:rsidRPr="66A1DF9F">
        <w:rPr>
          <w:b/>
          <w:bCs/>
          <w:color w:val="0070C0"/>
        </w:rPr>
        <w:t xml:space="preserve">. Programme </w:t>
      </w:r>
      <w:r w:rsidR="666F351C" w:rsidRPr="66A1DF9F">
        <w:rPr>
          <w:b/>
          <w:bCs/>
          <w:color w:val="0070C0"/>
        </w:rPr>
        <w:t xml:space="preserve">Strategy </w:t>
      </w:r>
    </w:p>
    <w:p w14:paraId="208C6505" w14:textId="6BFD39D8" w:rsidR="0042144B" w:rsidRPr="00CD3D9C" w:rsidRDefault="00A81385" w:rsidP="001134F6">
      <w:pPr>
        <w:rPr>
          <w:b/>
          <w:bCs/>
          <w:color w:val="000000" w:themeColor="text1"/>
          <w:szCs w:val="20"/>
        </w:rPr>
      </w:pPr>
      <w:r w:rsidRPr="00CD3D9C">
        <w:rPr>
          <w:b/>
          <w:bCs/>
          <w:color w:val="000000" w:themeColor="text1"/>
          <w:szCs w:val="20"/>
        </w:rPr>
        <w:t>2</w:t>
      </w:r>
      <w:r w:rsidR="0057528B" w:rsidRPr="00CD3D9C">
        <w:rPr>
          <w:b/>
          <w:bCs/>
          <w:color w:val="000000" w:themeColor="text1"/>
          <w:szCs w:val="20"/>
        </w:rPr>
        <w:t xml:space="preserve">.1. </w:t>
      </w:r>
      <w:r w:rsidR="008C098B" w:rsidRPr="00CD3D9C">
        <w:rPr>
          <w:b/>
          <w:bCs/>
          <w:color w:val="000000" w:themeColor="text1"/>
          <w:szCs w:val="20"/>
        </w:rPr>
        <w:t>Over</w:t>
      </w:r>
      <w:r w:rsidR="00811779" w:rsidRPr="00CD3D9C">
        <w:rPr>
          <w:b/>
          <w:bCs/>
          <w:color w:val="000000" w:themeColor="text1"/>
          <w:szCs w:val="20"/>
        </w:rPr>
        <w:t xml:space="preserve">all </w:t>
      </w:r>
      <w:r w:rsidR="00E37CB4" w:rsidRPr="00CD3D9C">
        <w:rPr>
          <w:b/>
          <w:bCs/>
          <w:color w:val="000000" w:themeColor="text1"/>
          <w:szCs w:val="20"/>
        </w:rPr>
        <w:t>strategy</w:t>
      </w:r>
      <w:r w:rsidR="0042144B" w:rsidRPr="00CD3D9C">
        <w:rPr>
          <w:b/>
          <w:bCs/>
          <w:color w:val="000000" w:themeColor="text1"/>
          <w:szCs w:val="20"/>
        </w:rPr>
        <w:t xml:space="preserve"> </w:t>
      </w:r>
    </w:p>
    <w:p w14:paraId="45188756" w14:textId="2FD478CC" w:rsidR="00A8419D" w:rsidRPr="00CD3D9C" w:rsidRDefault="00A8419D" w:rsidP="00A8419D">
      <w:pPr>
        <w:rPr>
          <w:i/>
          <w:color w:val="C45911" w:themeColor="accent2" w:themeShade="BF"/>
          <w:szCs w:val="20"/>
        </w:rPr>
      </w:pPr>
    </w:p>
    <w:p w14:paraId="49BB4C00" w14:textId="7F86E745" w:rsidR="00D967E0" w:rsidRPr="00CD3D9C" w:rsidRDefault="005D15BC" w:rsidP="00FF33A9">
      <w:pPr>
        <w:autoSpaceDE w:val="0"/>
        <w:autoSpaceDN w:val="0"/>
        <w:adjustRightInd w:val="0"/>
        <w:rPr>
          <w:szCs w:val="20"/>
        </w:rPr>
      </w:pPr>
      <w:r w:rsidRPr="00CD3D9C">
        <w:rPr>
          <w:szCs w:val="20"/>
        </w:rPr>
        <w:t xml:space="preserve">The Maldives is currently implementing the inception phase of </w:t>
      </w:r>
      <w:r w:rsidR="005B715A">
        <w:rPr>
          <w:szCs w:val="20"/>
        </w:rPr>
        <w:t>INFF</w:t>
      </w:r>
      <w:r w:rsidRPr="00CD3D9C">
        <w:rPr>
          <w:szCs w:val="20"/>
        </w:rPr>
        <w:t xml:space="preserve"> process to address the challenges on </w:t>
      </w:r>
      <w:r w:rsidR="0007720D">
        <w:rPr>
          <w:szCs w:val="20"/>
        </w:rPr>
        <w:t>development financing</w:t>
      </w:r>
      <w:r w:rsidRPr="00CD3D9C">
        <w:rPr>
          <w:szCs w:val="20"/>
        </w:rPr>
        <w:t xml:space="preserve">. </w:t>
      </w:r>
      <w:r w:rsidR="00A8419D" w:rsidRPr="00CD3D9C">
        <w:rPr>
          <w:szCs w:val="20"/>
        </w:rPr>
        <w:t xml:space="preserve">The JP will build on the </w:t>
      </w:r>
      <w:r w:rsidR="00F82C16" w:rsidRPr="00CD3D9C">
        <w:rPr>
          <w:szCs w:val="20"/>
        </w:rPr>
        <w:t>DFA/INFF inception</w:t>
      </w:r>
      <w:r w:rsidR="0008155C">
        <w:rPr>
          <w:szCs w:val="20"/>
        </w:rPr>
        <w:t xml:space="preserve"> phase and aims to implement </w:t>
      </w:r>
      <w:r w:rsidR="00F82C16" w:rsidRPr="00CD3D9C">
        <w:rPr>
          <w:szCs w:val="20"/>
        </w:rPr>
        <w:t>the INFF set up phase and operationaliz</w:t>
      </w:r>
      <w:r w:rsidR="003F3644">
        <w:rPr>
          <w:szCs w:val="20"/>
        </w:rPr>
        <w:t>ation</w:t>
      </w:r>
      <w:r w:rsidR="000664EB" w:rsidRPr="00CD3D9C">
        <w:rPr>
          <w:szCs w:val="20"/>
        </w:rPr>
        <w:t xml:space="preserve"> phase</w:t>
      </w:r>
      <w:r w:rsidR="00F82C16" w:rsidRPr="00CD3D9C">
        <w:rPr>
          <w:szCs w:val="20"/>
        </w:rPr>
        <w:t xml:space="preserve"> (see</w:t>
      </w:r>
      <w:r w:rsidR="000664EB" w:rsidRPr="00CD3D9C">
        <w:rPr>
          <w:szCs w:val="20"/>
        </w:rPr>
        <w:t xml:space="preserve"> highlighted sections</w:t>
      </w:r>
      <w:r w:rsidR="0007720D">
        <w:rPr>
          <w:szCs w:val="20"/>
        </w:rPr>
        <w:t xml:space="preserve"> in </w:t>
      </w:r>
      <w:r w:rsidR="00F82C16" w:rsidRPr="00CD3D9C">
        <w:rPr>
          <w:szCs w:val="20"/>
        </w:rPr>
        <w:t xml:space="preserve">Figure 2 below). </w:t>
      </w:r>
    </w:p>
    <w:p w14:paraId="0281382B" w14:textId="77777777" w:rsidR="001D3E37" w:rsidRDefault="001D3E37" w:rsidP="00FF33A9">
      <w:pPr>
        <w:rPr>
          <w:szCs w:val="20"/>
        </w:rPr>
      </w:pPr>
    </w:p>
    <w:p w14:paraId="384972FB" w14:textId="6BB633A6" w:rsidR="00D967E0" w:rsidRPr="00CD3D9C" w:rsidRDefault="7F360998" w:rsidP="00FF33A9">
      <w:r>
        <w:t xml:space="preserve">The inception phase of the DFA/INFF process consists of the set up the existing DFA/INFF oversight team, the completion of the DFA and the development of the INFF roadmap. The DFA will compile data and information on financing needs and trends, current policy, and institutional structures used to carry out planning and finance policy functions and examine in greater depth the financing priorities, challenges and opportunities to take a more holistic approach to planning and financing. It will draw together the work being done on these issues by various national and international actors. The INFF roadmap will outline the steps that will be taken to operationalise </w:t>
      </w:r>
      <w:r w:rsidR="155D6677">
        <w:t>the</w:t>
      </w:r>
      <w:r>
        <w:t xml:space="preserve"> INFF in the country.</w:t>
      </w:r>
    </w:p>
    <w:p w14:paraId="0A592929" w14:textId="67CDAF62" w:rsidR="00432991" w:rsidRPr="00CD3D9C" w:rsidRDefault="00432991" w:rsidP="00FF33A9">
      <w:pPr>
        <w:rPr>
          <w:szCs w:val="20"/>
        </w:rPr>
      </w:pPr>
    </w:p>
    <w:tbl>
      <w:tblPr>
        <w:tblStyle w:val="TableGrid"/>
        <w:tblW w:w="0" w:type="auto"/>
        <w:tblLook w:val="04A0" w:firstRow="1" w:lastRow="0" w:firstColumn="1" w:lastColumn="0" w:noHBand="0" w:noVBand="1"/>
      </w:tblPr>
      <w:tblGrid>
        <w:gridCol w:w="9350"/>
      </w:tblGrid>
      <w:tr w:rsidR="00A27B78" w:rsidRPr="00CD3D9C" w14:paraId="21008649" w14:textId="77777777" w:rsidTr="00A27B78">
        <w:tc>
          <w:tcPr>
            <w:tcW w:w="9350" w:type="dxa"/>
          </w:tcPr>
          <w:p w14:paraId="07FA1B93" w14:textId="07550F95" w:rsidR="00A27B78" w:rsidRPr="00CD3D9C" w:rsidRDefault="00A27B78" w:rsidP="00A8419D">
            <w:pPr>
              <w:jc w:val="both"/>
              <w:rPr>
                <w:szCs w:val="20"/>
              </w:rPr>
            </w:pPr>
            <w:r w:rsidRPr="00CD3D9C">
              <w:rPr>
                <w:szCs w:val="20"/>
              </w:rPr>
              <w:t>Figure 2 Proposed INFF inception and roll out process for the Maldives</w:t>
            </w:r>
          </w:p>
        </w:tc>
      </w:tr>
      <w:tr w:rsidR="00A27B78" w:rsidRPr="00CD3D9C" w14:paraId="3BB710C8" w14:textId="77777777" w:rsidTr="00F82C16">
        <w:tc>
          <w:tcPr>
            <w:tcW w:w="9350" w:type="dxa"/>
            <w:shd w:val="clear" w:color="auto" w:fill="auto"/>
          </w:tcPr>
          <w:p w14:paraId="2C2C549F" w14:textId="349B7158" w:rsidR="00A27B78" w:rsidRPr="00CD3D9C" w:rsidRDefault="00F82C16" w:rsidP="00A8419D">
            <w:pPr>
              <w:jc w:val="both"/>
              <w:rPr>
                <w:szCs w:val="20"/>
              </w:rPr>
            </w:pPr>
            <w:r w:rsidRPr="00CD3D9C">
              <w:rPr>
                <w:noProof/>
                <w:szCs w:val="20"/>
              </w:rPr>
              <w:drawing>
                <wp:inline distT="0" distB="0" distL="0" distR="0" wp14:anchorId="4A581370" wp14:editId="7B587883">
                  <wp:extent cx="5943600" cy="2456180"/>
                  <wp:effectExtent l="0" t="19050" r="0" b="20320"/>
                  <wp:docPr id="4" name="Diagram 4">
                    <a:extLst xmlns:a="http://schemas.openxmlformats.org/drawingml/2006/main">
                      <a:ext uri="{FF2B5EF4-FFF2-40B4-BE49-F238E27FC236}">
                        <a16:creationId xmlns:a16="http://schemas.microsoft.com/office/drawing/2014/main" id="{1968D21A-D71D-42C8-B86F-683F53B15DB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tc>
      </w:tr>
    </w:tbl>
    <w:p w14:paraId="58CE3444" w14:textId="79B80398" w:rsidR="00A27B78" w:rsidRPr="00CD3D9C" w:rsidRDefault="00A27B78" w:rsidP="00A8419D">
      <w:pPr>
        <w:jc w:val="both"/>
        <w:rPr>
          <w:szCs w:val="20"/>
        </w:rPr>
      </w:pPr>
    </w:p>
    <w:p w14:paraId="4A63B95A" w14:textId="2FEB2ACC" w:rsidR="00A8419D" w:rsidRPr="00CD3D9C" w:rsidRDefault="00A8419D" w:rsidP="00B41E0B">
      <w:pPr>
        <w:rPr>
          <w:szCs w:val="20"/>
        </w:rPr>
      </w:pPr>
      <w:r w:rsidRPr="00CD3D9C">
        <w:rPr>
          <w:szCs w:val="20"/>
        </w:rPr>
        <w:t>The JP’s first support area (See section 2.3 below, - JP outcome 1 and outcome 2) will build on the ongoing DFA which is expected to be completed in July 2020. Complementing the DFA, the JP will support financing needs assessments and costing exercises</w:t>
      </w:r>
      <w:r w:rsidR="00964606">
        <w:rPr>
          <w:szCs w:val="20"/>
        </w:rPr>
        <w:t xml:space="preserve"> </w:t>
      </w:r>
      <w:r w:rsidRPr="00CD3D9C">
        <w:rPr>
          <w:szCs w:val="20"/>
        </w:rPr>
        <w:t xml:space="preserve">to estimate the </w:t>
      </w:r>
      <w:r w:rsidR="00BE4723">
        <w:rPr>
          <w:szCs w:val="20"/>
        </w:rPr>
        <w:t xml:space="preserve">SDG </w:t>
      </w:r>
      <w:r w:rsidRPr="00CD3D9C">
        <w:rPr>
          <w:szCs w:val="20"/>
        </w:rPr>
        <w:t>financing gap</w:t>
      </w:r>
      <w:r w:rsidR="00EE7077">
        <w:rPr>
          <w:szCs w:val="20"/>
        </w:rPr>
        <w:t xml:space="preserve"> taking account the impact of the ongoing Covid-19 crisis on the Maldives SDGs </w:t>
      </w:r>
      <w:r w:rsidR="00BE4723">
        <w:rPr>
          <w:szCs w:val="20"/>
        </w:rPr>
        <w:t>performance</w:t>
      </w:r>
      <w:r w:rsidR="00EE7077">
        <w:rPr>
          <w:szCs w:val="20"/>
        </w:rPr>
        <w:t>. The c</w:t>
      </w:r>
      <w:r w:rsidR="00BE4723">
        <w:rPr>
          <w:szCs w:val="20"/>
        </w:rPr>
        <w:t>osting exercises will</w:t>
      </w:r>
      <w:r w:rsidRPr="00CD3D9C">
        <w:rPr>
          <w:szCs w:val="20"/>
        </w:rPr>
        <w:t xml:space="preserve"> </w:t>
      </w:r>
      <w:r w:rsidR="00BE4723">
        <w:rPr>
          <w:szCs w:val="20"/>
        </w:rPr>
        <w:t xml:space="preserve">cover </w:t>
      </w:r>
      <w:r w:rsidRPr="00CD3D9C">
        <w:rPr>
          <w:szCs w:val="20"/>
        </w:rPr>
        <w:t>the long-term investments needed for achieving</w:t>
      </w:r>
      <w:r w:rsidR="00BE4723">
        <w:rPr>
          <w:szCs w:val="20"/>
        </w:rPr>
        <w:t xml:space="preserve"> the SDGs associated with</w:t>
      </w:r>
      <w:r w:rsidR="00BE4723" w:rsidRPr="00CD3D9C">
        <w:rPr>
          <w:szCs w:val="20"/>
        </w:rPr>
        <w:t xml:space="preserve"> climate action (Goal 2, 6, 7, 1</w:t>
      </w:r>
      <w:r w:rsidR="00BE4723" w:rsidRPr="00E338AD">
        <w:rPr>
          <w:szCs w:val="20"/>
        </w:rPr>
        <w:t>1</w:t>
      </w:r>
      <w:r w:rsidR="00BE4723" w:rsidRPr="00CD3D9C">
        <w:rPr>
          <w:szCs w:val="20"/>
        </w:rPr>
        <w:t>, 14, 15)</w:t>
      </w:r>
      <w:r w:rsidR="00BE4723">
        <w:rPr>
          <w:szCs w:val="20"/>
        </w:rPr>
        <w:t>;</w:t>
      </w:r>
      <w:r w:rsidR="00BE4723" w:rsidRPr="00CD3D9C">
        <w:rPr>
          <w:szCs w:val="20"/>
        </w:rPr>
        <w:t xml:space="preserve"> and social services (Goal 2, 3, 4, 5, 7, 10)</w:t>
      </w:r>
      <w:r w:rsidR="00BE4723">
        <w:rPr>
          <w:szCs w:val="20"/>
        </w:rPr>
        <w:t>.</w:t>
      </w:r>
      <w:r w:rsidR="00BE4723" w:rsidRPr="00CD3D9C">
        <w:rPr>
          <w:szCs w:val="20"/>
        </w:rPr>
        <w:t xml:space="preserve"> </w:t>
      </w:r>
      <w:r w:rsidR="00F972BC" w:rsidRPr="00FB4EF5">
        <w:rPr>
          <w:szCs w:val="20"/>
        </w:rPr>
        <w:t xml:space="preserve">The costing will innovatively apply a human resource investment and </w:t>
      </w:r>
      <w:r w:rsidR="00F972BC" w:rsidRPr="006F2BC0">
        <w:t>gender lens.</w:t>
      </w:r>
      <w:r w:rsidR="00F972BC" w:rsidRPr="00FB4EF5">
        <w:rPr>
          <w:szCs w:val="20"/>
        </w:rPr>
        <w:t xml:space="preserve"> A methodology that builds the capacity of the government to undertake periodic costing will be prioritized. </w:t>
      </w:r>
      <w:r w:rsidR="00BE4723">
        <w:rPr>
          <w:szCs w:val="20"/>
        </w:rPr>
        <w:t xml:space="preserve">Once the financing gap is accurately assessed, </w:t>
      </w:r>
      <w:r w:rsidR="000C258A" w:rsidRPr="00F977D6">
        <w:rPr>
          <w:szCs w:val="20"/>
        </w:rPr>
        <w:t xml:space="preserve">(UN framework for the immediate socio-economic response to COVID-19 considered in the process), </w:t>
      </w:r>
      <w:r w:rsidR="00BE4723">
        <w:rPr>
          <w:szCs w:val="20"/>
        </w:rPr>
        <w:t xml:space="preserve">the JP will support the </w:t>
      </w:r>
      <w:r w:rsidRPr="00FB4EF5">
        <w:rPr>
          <w:szCs w:val="20"/>
        </w:rPr>
        <w:t xml:space="preserve">development of </w:t>
      </w:r>
      <w:r w:rsidR="00BE4723">
        <w:rPr>
          <w:szCs w:val="20"/>
        </w:rPr>
        <w:t>a</w:t>
      </w:r>
      <w:r w:rsidRPr="00FB4EF5">
        <w:rPr>
          <w:szCs w:val="20"/>
        </w:rPr>
        <w:t xml:space="preserve"> </w:t>
      </w:r>
      <w:r w:rsidR="00987D92" w:rsidRPr="00FB4EF5">
        <w:rPr>
          <w:color w:val="000000" w:themeColor="text1"/>
          <w:szCs w:val="20"/>
        </w:rPr>
        <w:t>National Integrated</w:t>
      </w:r>
      <w:r w:rsidR="00987D92" w:rsidRPr="00CD3D9C">
        <w:rPr>
          <w:color w:val="000000" w:themeColor="text1"/>
          <w:szCs w:val="20"/>
        </w:rPr>
        <w:t xml:space="preserve"> Financing Strategy </w:t>
      </w:r>
      <w:r w:rsidR="00BE4723">
        <w:rPr>
          <w:szCs w:val="20"/>
        </w:rPr>
        <w:t>articulating the financing solutions.</w:t>
      </w:r>
    </w:p>
    <w:p w14:paraId="6ECA8E4E" w14:textId="77777777" w:rsidR="00A8419D" w:rsidRPr="00CD3D9C" w:rsidRDefault="00A8419D" w:rsidP="00B41E0B">
      <w:pPr>
        <w:rPr>
          <w:szCs w:val="20"/>
        </w:rPr>
      </w:pPr>
    </w:p>
    <w:p w14:paraId="6BC233A7" w14:textId="12B7A049" w:rsidR="00A8419D" w:rsidRPr="00CD3D9C" w:rsidRDefault="00A8419D" w:rsidP="00B41E0B">
      <w:pPr>
        <w:rPr>
          <w:szCs w:val="20"/>
        </w:rPr>
      </w:pPr>
      <w:r w:rsidRPr="00CD3D9C">
        <w:rPr>
          <w:szCs w:val="20"/>
        </w:rPr>
        <w:t xml:space="preserve">The second support area of the JP (See section 2.3 below, JP 3) will build on the institutional process that has been initiated with the </w:t>
      </w:r>
      <w:r w:rsidR="00BD3AA6" w:rsidRPr="00CD3D9C">
        <w:rPr>
          <w:szCs w:val="20"/>
        </w:rPr>
        <w:t>set-up</w:t>
      </w:r>
      <w:r w:rsidRPr="00CD3D9C">
        <w:rPr>
          <w:szCs w:val="20"/>
        </w:rPr>
        <w:t xml:space="preserve"> of the </w:t>
      </w:r>
      <w:r w:rsidR="00F82C16" w:rsidRPr="00CD3D9C">
        <w:rPr>
          <w:szCs w:val="20"/>
        </w:rPr>
        <w:t>DFA/</w:t>
      </w:r>
      <w:r w:rsidRPr="00CD3D9C">
        <w:rPr>
          <w:szCs w:val="20"/>
        </w:rPr>
        <w:t xml:space="preserve">INFF oversight </w:t>
      </w:r>
      <w:r w:rsidR="000C26DD" w:rsidRPr="00CD3D9C">
        <w:rPr>
          <w:szCs w:val="20"/>
        </w:rPr>
        <w:t>team</w:t>
      </w:r>
      <w:r w:rsidRPr="00CD3D9C">
        <w:rPr>
          <w:szCs w:val="20"/>
        </w:rPr>
        <w:t xml:space="preserve">. The JP </w:t>
      </w:r>
      <w:r w:rsidR="000C26DD" w:rsidRPr="00CD3D9C">
        <w:rPr>
          <w:szCs w:val="20"/>
        </w:rPr>
        <w:t xml:space="preserve">will consolidate this institutional arrangement </w:t>
      </w:r>
      <w:r w:rsidR="002D7E20" w:rsidRPr="00CD3D9C">
        <w:rPr>
          <w:szCs w:val="20"/>
        </w:rPr>
        <w:t>into a full-fledged</w:t>
      </w:r>
      <w:r w:rsidR="00964606">
        <w:rPr>
          <w:szCs w:val="20"/>
        </w:rPr>
        <w:t>, gender balanced,</w:t>
      </w:r>
      <w:r w:rsidR="000C26DD" w:rsidRPr="00CD3D9C">
        <w:rPr>
          <w:szCs w:val="20"/>
        </w:rPr>
        <w:t xml:space="preserve"> INFF Oversight Committee. </w:t>
      </w:r>
      <w:r w:rsidRPr="00CD3D9C">
        <w:rPr>
          <w:szCs w:val="20"/>
        </w:rPr>
        <w:t xml:space="preserve">The JP will support capacity building for the INFF oversight committee to strengthen the core functions and to improve its </w:t>
      </w:r>
      <w:r w:rsidR="000664EB" w:rsidRPr="00CD3D9C">
        <w:rPr>
          <w:szCs w:val="20"/>
        </w:rPr>
        <w:t>effectiveness</w:t>
      </w:r>
      <w:r w:rsidR="00B41E0B">
        <w:rPr>
          <w:szCs w:val="20"/>
        </w:rPr>
        <w:t>.</w:t>
      </w:r>
      <w:r w:rsidR="000664EB" w:rsidRPr="00CD3D9C">
        <w:rPr>
          <w:szCs w:val="20"/>
        </w:rPr>
        <w:t xml:space="preserve"> </w:t>
      </w:r>
    </w:p>
    <w:p w14:paraId="47FECD4E" w14:textId="15126FA1" w:rsidR="00823846" w:rsidRPr="00CD3D9C" w:rsidRDefault="00823846" w:rsidP="00B41E0B">
      <w:pPr>
        <w:rPr>
          <w:szCs w:val="20"/>
        </w:rPr>
      </w:pPr>
    </w:p>
    <w:p w14:paraId="504103FA" w14:textId="55C816CE" w:rsidR="00D804B5" w:rsidRPr="00B41E0B" w:rsidRDefault="01EA9F9D" w:rsidP="00B41E0B">
      <w:bookmarkStart w:id="6" w:name="_Hlk36292769"/>
      <w:bookmarkStart w:id="7" w:name="_Hlk36292209"/>
      <w:r>
        <w:t xml:space="preserve">The JP is </w:t>
      </w:r>
      <w:r w:rsidR="7C6DC0DE">
        <w:t>expected</w:t>
      </w:r>
      <w:r>
        <w:t xml:space="preserve"> </w:t>
      </w:r>
      <w:r w:rsidR="3E82D1FF">
        <w:t xml:space="preserve">to </w:t>
      </w:r>
      <w:r>
        <w:t xml:space="preserve">unlock transformation in two ways. </w:t>
      </w:r>
      <w:r w:rsidR="7C6DC0DE">
        <w:t>First, the</w:t>
      </w:r>
      <w:r>
        <w:t xml:space="preserve"> JP</w:t>
      </w:r>
      <w:r w:rsidR="417C7C13">
        <w:t xml:space="preserve"> will steer </w:t>
      </w:r>
      <w:r w:rsidR="7C6DC0DE">
        <w:t xml:space="preserve">broader institutional reforms </w:t>
      </w:r>
      <w:r w:rsidR="24C34053">
        <w:t xml:space="preserve">related to the governance and architecture of financing. This is expected to contribute to (i) building cross-government coordination to achieve greater coherence across public and private financing policies (ii) ensuring their alignment with sustainable development priorities and (iii) monitoring the impact of financing policies and reforms including the differentiated impact on women and men. </w:t>
      </w:r>
      <w:r w:rsidR="7C6DC0DE">
        <w:t xml:space="preserve">The second transformation envisaged in the JP is to anchor climate action and </w:t>
      </w:r>
      <w:r w:rsidR="1679C200">
        <w:t xml:space="preserve">gender responsive and </w:t>
      </w:r>
      <w:r w:rsidR="7C6DC0DE">
        <w:t xml:space="preserve">equity focused social sector </w:t>
      </w:r>
      <w:r w:rsidR="417C7C13">
        <w:t xml:space="preserve">service delivery </w:t>
      </w:r>
      <w:r w:rsidR="7C6DC0DE">
        <w:t xml:space="preserve">at the </w:t>
      </w:r>
      <w:r w:rsidR="74B8A242">
        <w:t xml:space="preserve">heart </w:t>
      </w:r>
      <w:r w:rsidR="7C6DC0DE">
        <w:t>of national financing</w:t>
      </w:r>
      <w:r w:rsidR="653AABCA">
        <w:t xml:space="preserve"> agenda</w:t>
      </w:r>
      <w:r w:rsidR="169D0534">
        <w:t>. This will</w:t>
      </w:r>
      <w:r w:rsidR="7C6DC0DE">
        <w:t xml:space="preserve"> </w:t>
      </w:r>
      <w:r w:rsidR="74B8A242">
        <w:t xml:space="preserve">enable </w:t>
      </w:r>
      <w:r w:rsidR="2FB161FF">
        <w:t xml:space="preserve">more sustainable </w:t>
      </w:r>
      <w:r w:rsidR="7C6DC0DE">
        <w:t>financing for the</w:t>
      </w:r>
      <w:r w:rsidR="7A641CF8">
        <w:t>se areas</w:t>
      </w:r>
      <w:r w:rsidR="74B8A242">
        <w:t xml:space="preserve"> </w:t>
      </w:r>
      <w:r w:rsidR="71C05A67">
        <w:t>which will generate</w:t>
      </w:r>
      <w:r w:rsidR="74B8A242">
        <w:t xml:space="preserve"> long term development </w:t>
      </w:r>
      <w:r w:rsidR="57C62D0A">
        <w:t>benefits to vulnerable population groups (women, unemployed and at-risk young men and women, migrant labour, elderly,</w:t>
      </w:r>
      <w:r w:rsidR="2683ABA4">
        <w:t xml:space="preserve"> persons with dis</w:t>
      </w:r>
      <w:r w:rsidR="3DE30995">
        <w:t>ab</w:t>
      </w:r>
      <w:r w:rsidR="2683ABA4">
        <w:t>ilities,</w:t>
      </w:r>
      <w:r w:rsidR="57C62D0A">
        <w:t xml:space="preserve"> vulnerable children and populations living in remote communities with high exposure to climate induced disasters) </w:t>
      </w:r>
      <w:r w:rsidR="1679C200">
        <w:t>to advance the</w:t>
      </w:r>
      <w:r w:rsidR="5C0E1C6C">
        <w:t xml:space="preserve"> SDGs in the Maldives</w:t>
      </w:r>
      <w:r w:rsidR="7C6DC0DE">
        <w:t>.</w:t>
      </w:r>
    </w:p>
    <w:bookmarkEnd w:id="6"/>
    <w:p w14:paraId="25C3643A" w14:textId="6F36B2C4" w:rsidR="00916FFC" w:rsidRPr="00CD3D9C" w:rsidRDefault="00916FFC" w:rsidP="00B41E0B">
      <w:pPr>
        <w:rPr>
          <w:szCs w:val="20"/>
        </w:rPr>
      </w:pPr>
    </w:p>
    <w:p w14:paraId="2CBC9FB9" w14:textId="7E3B4A40" w:rsidR="00823846" w:rsidRPr="00CD3D9C" w:rsidRDefault="4F4C2DC5" w:rsidP="00B41E0B">
      <w:bookmarkStart w:id="8" w:name="_Hlk34856803"/>
      <w:bookmarkEnd w:id="7"/>
      <w:r>
        <w:t xml:space="preserve">The JP </w:t>
      </w:r>
      <w:r w:rsidR="0C840B1A">
        <w:t xml:space="preserve">brings strong </w:t>
      </w:r>
      <w:r>
        <w:t xml:space="preserve">complementarity </w:t>
      </w:r>
      <w:r w:rsidR="0C840B1A">
        <w:t>to</w:t>
      </w:r>
      <w:r>
        <w:t xml:space="preserve"> a range of interventions that are ongoing led by the government</w:t>
      </w:r>
      <w:r w:rsidR="169D0534">
        <w:t>,</w:t>
      </w:r>
      <w:r>
        <w:t xml:space="preserve"> and</w:t>
      </w:r>
      <w:r w:rsidR="04B0B7D6">
        <w:t xml:space="preserve"> </w:t>
      </w:r>
      <w:r>
        <w:t xml:space="preserve">supported by other development partners. </w:t>
      </w:r>
      <w:r w:rsidR="7A641CF8">
        <w:t>Th</w:t>
      </w:r>
      <w:r w:rsidR="169D0534">
        <w:t>ese</w:t>
      </w:r>
      <w:r w:rsidR="7A641CF8">
        <w:t xml:space="preserve"> include:</w:t>
      </w:r>
    </w:p>
    <w:p w14:paraId="3FF6CEEE" w14:textId="01B9D1C5" w:rsidR="00D804B5" w:rsidRPr="00CD3D9C" w:rsidRDefault="00A8419D" w:rsidP="00B41E0B">
      <w:pPr>
        <w:pStyle w:val="ListParagraph"/>
        <w:numPr>
          <w:ilvl w:val="0"/>
          <w:numId w:val="37"/>
        </w:numPr>
        <w:rPr>
          <w:szCs w:val="20"/>
        </w:rPr>
      </w:pPr>
      <w:r w:rsidRPr="00CD3D9C">
        <w:rPr>
          <w:szCs w:val="20"/>
        </w:rPr>
        <w:t xml:space="preserve">Revisiting </w:t>
      </w:r>
      <w:r w:rsidR="00964606">
        <w:rPr>
          <w:szCs w:val="20"/>
        </w:rPr>
        <w:t xml:space="preserve">of </w:t>
      </w:r>
      <w:r w:rsidRPr="00CD3D9C">
        <w:rPr>
          <w:szCs w:val="20"/>
        </w:rPr>
        <w:t>the n</w:t>
      </w:r>
      <w:r w:rsidR="00D804B5" w:rsidRPr="00CD3D9C">
        <w:rPr>
          <w:szCs w:val="20"/>
        </w:rPr>
        <w:t>ational SDG prioritization process</w:t>
      </w:r>
      <w:r w:rsidR="005D7E9E" w:rsidRPr="00CD3D9C">
        <w:rPr>
          <w:szCs w:val="20"/>
        </w:rPr>
        <w:t xml:space="preserve"> based on results of key ongoing exercises. This includes the ongoing </w:t>
      </w:r>
      <w:r w:rsidR="001C0E74" w:rsidRPr="00CD3D9C">
        <w:rPr>
          <w:szCs w:val="20"/>
        </w:rPr>
        <w:t>mapping exercise to identify the coverage, level of alignment of SDGs in the SAP, the planned baseline update exercise for SDG indicators led by the National Bureau of Statistics with support from the UNESCAP and the planned UN Mainstreaming, Acceleration and Policy Support (MAPS) mission to the Maldives</w:t>
      </w:r>
      <w:r w:rsidR="005D7E9E" w:rsidRPr="00CD3D9C">
        <w:rPr>
          <w:szCs w:val="20"/>
        </w:rPr>
        <w:t xml:space="preserve"> and the ongoing SDG partnership landscape assessment funded by UNDESA.</w:t>
      </w:r>
    </w:p>
    <w:p w14:paraId="0F646D35" w14:textId="357B1DDF" w:rsidR="00D804B5" w:rsidRDefault="7A641CF8" w:rsidP="00B41E0B">
      <w:pPr>
        <w:pStyle w:val="ListParagraph"/>
        <w:numPr>
          <w:ilvl w:val="0"/>
          <w:numId w:val="37"/>
        </w:numPr>
      </w:pPr>
      <w:r>
        <w:t xml:space="preserve">On-going </w:t>
      </w:r>
      <w:r w:rsidR="0C840B1A">
        <w:t>PFM</w:t>
      </w:r>
      <w:r>
        <w:t xml:space="preserve"> reforms including transitioning to programme based budgeting, debt and cash management strategy, the </w:t>
      </w:r>
      <w:r w:rsidR="7E341B59">
        <w:t>medium</w:t>
      </w:r>
      <w:r w:rsidR="39DBEF82">
        <w:t>-</w:t>
      </w:r>
      <w:r w:rsidR="7E341B59">
        <w:t>term fiscal framework</w:t>
      </w:r>
      <w:r>
        <w:t xml:space="preserve">, public expenditure reviews and </w:t>
      </w:r>
      <w:r w:rsidR="04B0B7D6">
        <w:t xml:space="preserve">climate finance tracking initiative. </w:t>
      </w:r>
      <w:r w:rsidR="5A3B24DF">
        <w:t>The Ministry of Finance – jointly with the World Bank</w:t>
      </w:r>
      <w:r w:rsidR="57DD9DC7">
        <w:t>-</w:t>
      </w:r>
      <w:r w:rsidR="5A3B24DF">
        <w:t xml:space="preserve"> is already planning a Performance Expenditure Review (PER) to assess efficiency gains in the social service sector spending, UNICEF will provide technical advice to this exercise. </w:t>
      </w:r>
    </w:p>
    <w:p w14:paraId="7001AF82" w14:textId="4209EF6C" w:rsidR="00964606" w:rsidRPr="00CD3D9C" w:rsidRDefault="00964606" w:rsidP="00B41E0B">
      <w:pPr>
        <w:pStyle w:val="ListParagraph"/>
        <w:numPr>
          <w:ilvl w:val="0"/>
          <w:numId w:val="37"/>
        </w:numPr>
        <w:rPr>
          <w:szCs w:val="20"/>
        </w:rPr>
      </w:pPr>
      <w:r>
        <w:rPr>
          <w:szCs w:val="20"/>
        </w:rPr>
        <w:t>Ongoing</w:t>
      </w:r>
      <w:r w:rsidR="001D3E37">
        <w:rPr>
          <w:szCs w:val="20"/>
        </w:rPr>
        <w:t xml:space="preserve"> </w:t>
      </w:r>
      <w:r w:rsidR="00FC2FAA">
        <w:rPr>
          <w:szCs w:val="20"/>
        </w:rPr>
        <w:t>national</w:t>
      </w:r>
      <w:r w:rsidR="001D3E37">
        <w:rPr>
          <w:szCs w:val="20"/>
        </w:rPr>
        <w:t xml:space="preserve"> response to the Covid-19 crisis. This includes</w:t>
      </w:r>
      <w:r>
        <w:rPr>
          <w:szCs w:val="20"/>
        </w:rPr>
        <w:t xml:space="preserve"> </w:t>
      </w:r>
      <w:r w:rsidR="001D3E37">
        <w:rPr>
          <w:szCs w:val="20"/>
        </w:rPr>
        <w:t>stimulus packages</w:t>
      </w:r>
      <w:r>
        <w:rPr>
          <w:szCs w:val="20"/>
        </w:rPr>
        <w:t xml:space="preserve"> </w:t>
      </w:r>
      <w:r w:rsidR="001D3E37">
        <w:rPr>
          <w:szCs w:val="20"/>
        </w:rPr>
        <w:t>rolled out by</w:t>
      </w:r>
      <w:r>
        <w:rPr>
          <w:szCs w:val="20"/>
        </w:rPr>
        <w:t xml:space="preserve"> the Government to mitigate the impacts of the Covid-19 crisis particularly impacting SDGs and vulnerable groups</w:t>
      </w:r>
      <w:r w:rsidR="001D3E37">
        <w:rPr>
          <w:szCs w:val="20"/>
        </w:rPr>
        <w:t xml:space="preserve">, the </w:t>
      </w:r>
      <w:r w:rsidR="00FC2FAA">
        <w:rPr>
          <w:szCs w:val="20"/>
        </w:rPr>
        <w:t xml:space="preserve">resources </w:t>
      </w:r>
      <w:r w:rsidR="001D3E37">
        <w:rPr>
          <w:szCs w:val="20"/>
        </w:rPr>
        <w:t xml:space="preserve">mobilized from </w:t>
      </w:r>
      <w:r w:rsidR="00FC2FAA">
        <w:rPr>
          <w:szCs w:val="20"/>
        </w:rPr>
        <w:t xml:space="preserve">international </w:t>
      </w:r>
      <w:r w:rsidR="001D3E37">
        <w:rPr>
          <w:szCs w:val="20"/>
        </w:rPr>
        <w:t>partners to strengthen emergency healthcare and the proposed UN support</w:t>
      </w:r>
      <w:r w:rsidR="00FC2FAA">
        <w:rPr>
          <w:szCs w:val="20"/>
        </w:rPr>
        <w:t xml:space="preserve"> to conduct a</w:t>
      </w:r>
      <w:r w:rsidR="001D3E37">
        <w:rPr>
          <w:szCs w:val="20"/>
        </w:rPr>
        <w:t xml:space="preserve"> socio-economic assessment and recovery planning</w:t>
      </w:r>
      <w:r w:rsidR="00FC2FAA">
        <w:rPr>
          <w:szCs w:val="20"/>
        </w:rPr>
        <w:t xml:space="preserve"> including a rapid livelihood assessment that has been launched by UNDP at the request of the Government. </w:t>
      </w:r>
    </w:p>
    <w:p w14:paraId="2B121109" w14:textId="4259EBE6" w:rsidR="00545361" w:rsidRPr="00CD3D9C" w:rsidRDefault="7A641CF8" w:rsidP="00B41E0B">
      <w:pPr>
        <w:pStyle w:val="ListParagraph"/>
        <w:numPr>
          <w:ilvl w:val="0"/>
          <w:numId w:val="37"/>
        </w:numPr>
      </w:pPr>
      <w:r>
        <w:t>The recently launched Maldives climate financing framework</w:t>
      </w:r>
      <w:r w:rsidR="5DE5FA3A">
        <w:t xml:space="preserve"> which outlines a portfolio of climate related projects</w:t>
      </w:r>
      <w:r>
        <w:t>, the ongoing parliamentary debates on the climate change bill</w:t>
      </w:r>
      <w:r w:rsidR="7E341B59">
        <w:t>,</w:t>
      </w:r>
      <w:r>
        <w:t xml:space="preserve"> the operation</w:t>
      </w:r>
      <w:r w:rsidR="04B0B7D6">
        <w:t>alising</w:t>
      </w:r>
      <w:r>
        <w:t xml:space="preserve"> </w:t>
      </w:r>
      <w:r w:rsidR="04B0B7D6">
        <w:t xml:space="preserve">of </w:t>
      </w:r>
      <w:r>
        <w:t>the Maldives Green Fund and other financing schemes</w:t>
      </w:r>
      <w:r w:rsidR="0C840B1A">
        <w:t xml:space="preserve"> and instruments</w:t>
      </w:r>
      <w:r>
        <w:t xml:space="preserve"> for</w:t>
      </w:r>
      <w:r w:rsidR="0C840B1A">
        <w:t xml:space="preserve"> upscaling</w:t>
      </w:r>
      <w:r>
        <w:t xml:space="preserve"> renewable energy. </w:t>
      </w:r>
    </w:p>
    <w:p w14:paraId="5B0EC4B7" w14:textId="7AAD43F9" w:rsidR="00CB5446" w:rsidRPr="00CD3D9C" w:rsidRDefault="5C0E1C6C" w:rsidP="00B41E0B">
      <w:pPr>
        <w:pStyle w:val="ListParagraph"/>
        <w:numPr>
          <w:ilvl w:val="0"/>
          <w:numId w:val="37"/>
        </w:numPr>
      </w:pPr>
      <w:r>
        <w:t xml:space="preserve">Coherent and effective implementation of newly ratified legislation related to the fulfilment of  rights, including the Child Rights Protection Act, the Juvenile Justice Act, </w:t>
      </w:r>
      <w:r w:rsidR="7D0CEF46">
        <w:t xml:space="preserve">the Domestic Violence Act, the Gender Equality Law </w:t>
      </w:r>
      <w:r>
        <w:t xml:space="preserve">and the draft Education Bill, the draft Statistics Bill and other important justice reforms which will have a direct implication for the SDG financing strategy development. </w:t>
      </w:r>
    </w:p>
    <w:bookmarkEnd w:id="8"/>
    <w:p w14:paraId="5FBBF889" w14:textId="77777777" w:rsidR="00545361" w:rsidRPr="00CD3D9C" w:rsidRDefault="00545361" w:rsidP="00B41E0B">
      <w:pPr>
        <w:rPr>
          <w:i/>
          <w:color w:val="C45911" w:themeColor="accent2" w:themeShade="BF"/>
          <w:szCs w:val="20"/>
        </w:rPr>
      </w:pPr>
    </w:p>
    <w:p w14:paraId="6F88F19B" w14:textId="2989F99A" w:rsidR="00334CCE" w:rsidRPr="00CD3D9C" w:rsidRDefault="00334CCE" w:rsidP="00B41E0B">
      <w:pPr>
        <w:rPr>
          <w:szCs w:val="20"/>
        </w:rPr>
      </w:pPr>
      <w:r w:rsidRPr="00CD3D9C">
        <w:rPr>
          <w:szCs w:val="20"/>
        </w:rPr>
        <w:t xml:space="preserve">The JP strategy brings together </w:t>
      </w:r>
      <w:r w:rsidR="000671F4">
        <w:rPr>
          <w:szCs w:val="20"/>
        </w:rPr>
        <w:t>four</w:t>
      </w:r>
      <w:r w:rsidRPr="00CD3D9C">
        <w:rPr>
          <w:szCs w:val="20"/>
        </w:rPr>
        <w:t xml:space="preserve"> important</w:t>
      </w:r>
      <w:r w:rsidR="00C37CF4" w:rsidRPr="00CD3D9C">
        <w:rPr>
          <w:szCs w:val="20"/>
        </w:rPr>
        <w:t xml:space="preserve"> and new</w:t>
      </w:r>
      <w:r w:rsidRPr="00CD3D9C">
        <w:rPr>
          <w:szCs w:val="20"/>
        </w:rPr>
        <w:t xml:space="preserve"> elements</w:t>
      </w:r>
      <w:r w:rsidR="00C37CF4" w:rsidRPr="00CD3D9C">
        <w:rPr>
          <w:szCs w:val="20"/>
        </w:rPr>
        <w:t xml:space="preserve"> to the Maldives</w:t>
      </w:r>
      <w:r w:rsidR="000C26DD" w:rsidRPr="00CD3D9C">
        <w:rPr>
          <w:szCs w:val="20"/>
        </w:rPr>
        <w:t xml:space="preserve"> development</w:t>
      </w:r>
      <w:r w:rsidR="00C37CF4" w:rsidRPr="00CD3D9C">
        <w:rPr>
          <w:szCs w:val="20"/>
        </w:rPr>
        <w:t xml:space="preserve"> financing agenda</w:t>
      </w:r>
      <w:r w:rsidRPr="00CD3D9C">
        <w:rPr>
          <w:szCs w:val="20"/>
        </w:rPr>
        <w:t>:</w:t>
      </w:r>
    </w:p>
    <w:p w14:paraId="5B868774" w14:textId="462581D9" w:rsidR="00A3091C" w:rsidRPr="00CD3D9C" w:rsidRDefault="00334CCE" w:rsidP="00B41E0B">
      <w:pPr>
        <w:pStyle w:val="ListParagraph"/>
        <w:numPr>
          <w:ilvl w:val="0"/>
          <w:numId w:val="38"/>
        </w:numPr>
        <w:rPr>
          <w:szCs w:val="20"/>
        </w:rPr>
      </w:pPr>
      <w:r w:rsidRPr="00CD3D9C">
        <w:rPr>
          <w:szCs w:val="20"/>
        </w:rPr>
        <w:t xml:space="preserve">It aims to bring climate action </w:t>
      </w:r>
      <w:r w:rsidRPr="00FB4EF5">
        <w:rPr>
          <w:szCs w:val="20"/>
        </w:rPr>
        <w:t xml:space="preserve">and </w:t>
      </w:r>
      <w:r w:rsidR="00F0247B" w:rsidRPr="008F6500">
        <w:t>gender responsive</w:t>
      </w:r>
      <w:r w:rsidR="00F0247B" w:rsidRPr="00FB4EF5">
        <w:rPr>
          <w:szCs w:val="20"/>
        </w:rPr>
        <w:t xml:space="preserve"> and </w:t>
      </w:r>
      <w:r w:rsidR="00CE0132" w:rsidRPr="00FB4EF5">
        <w:rPr>
          <w:szCs w:val="20"/>
        </w:rPr>
        <w:t>equity</w:t>
      </w:r>
      <w:r w:rsidR="00CE0132" w:rsidRPr="00CD3D9C">
        <w:rPr>
          <w:szCs w:val="20"/>
        </w:rPr>
        <w:t>-based approach to public</w:t>
      </w:r>
      <w:r w:rsidRPr="00CD3D9C">
        <w:rPr>
          <w:szCs w:val="20"/>
        </w:rPr>
        <w:t xml:space="preserve"> investments</w:t>
      </w:r>
      <w:r w:rsidR="00CB5446" w:rsidRPr="00CD3D9C">
        <w:rPr>
          <w:szCs w:val="20"/>
        </w:rPr>
        <w:t xml:space="preserve"> in the social sectors</w:t>
      </w:r>
      <w:r w:rsidRPr="00CD3D9C">
        <w:rPr>
          <w:szCs w:val="20"/>
        </w:rPr>
        <w:t xml:space="preserve"> to the forefront of </w:t>
      </w:r>
      <w:r w:rsidR="00F51552" w:rsidRPr="00CD3D9C">
        <w:rPr>
          <w:szCs w:val="20"/>
        </w:rPr>
        <w:t>the INFF agenda in the Maldives</w:t>
      </w:r>
      <w:r w:rsidRPr="00CD3D9C">
        <w:rPr>
          <w:szCs w:val="20"/>
        </w:rPr>
        <w:t xml:space="preserve">. Historically, national development narrative and associated investments are </w:t>
      </w:r>
      <w:r w:rsidR="00802488" w:rsidRPr="00CD3D9C">
        <w:rPr>
          <w:szCs w:val="20"/>
        </w:rPr>
        <w:t xml:space="preserve">closely </w:t>
      </w:r>
      <w:r w:rsidRPr="00CD3D9C">
        <w:rPr>
          <w:szCs w:val="20"/>
        </w:rPr>
        <w:t>tied to economic development and infrastructure. The JP aims to rebalance development and to increase prioritization of planning and investments to achieve equity and resilience above</w:t>
      </w:r>
      <w:r w:rsidR="00802488" w:rsidRPr="00CD3D9C">
        <w:rPr>
          <w:szCs w:val="20"/>
        </w:rPr>
        <w:t xml:space="preserve"> and beyond</w:t>
      </w:r>
      <w:r w:rsidR="000671F4">
        <w:rPr>
          <w:szCs w:val="20"/>
        </w:rPr>
        <w:t xml:space="preserve"> economic</w:t>
      </w:r>
      <w:r w:rsidRPr="00CD3D9C">
        <w:rPr>
          <w:szCs w:val="20"/>
        </w:rPr>
        <w:t xml:space="preserve"> growth</w:t>
      </w:r>
      <w:r w:rsidR="00CB5446" w:rsidRPr="00CD3D9C">
        <w:rPr>
          <w:szCs w:val="20"/>
        </w:rPr>
        <w:t xml:space="preserve"> to allow the </w:t>
      </w:r>
      <w:r w:rsidR="00CB5446" w:rsidRPr="00CD3D9C">
        <w:rPr>
          <w:szCs w:val="20"/>
        </w:rPr>
        <w:lastRenderedPageBreak/>
        <w:t xml:space="preserve">Maldives </w:t>
      </w:r>
      <w:r w:rsidR="00A3091C" w:rsidRPr="00CD3D9C">
        <w:rPr>
          <w:szCs w:val="20"/>
        </w:rPr>
        <w:t>to make greater progress on the overall SDGs</w:t>
      </w:r>
      <w:r w:rsidRPr="00CD3D9C">
        <w:rPr>
          <w:szCs w:val="20"/>
        </w:rPr>
        <w:t>.</w:t>
      </w:r>
      <w:r w:rsidR="00BD3AA6">
        <w:rPr>
          <w:szCs w:val="20"/>
        </w:rPr>
        <w:t xml:space="preserve"> This </w:t>
      </w:r>
      <w:r w:rsidR="00F539AC">
        <w:rPr>
          <w:szCs w:val="20"/>
        </w:rPr>
        <w:t xml:space="preserve">is more pertinent given the potential large-scale impact that the ongoing Covid-19 crisis will have on the Maldives economy and its population including the vulnerable groups. </w:t>
      </w:r>
    </w:p>
    <w:p w14:paraId="6842EF06" w14:textId="0EBBB9EA" w:rsidR="00334CCE" w:rsidRPr="000671F4" w:rsidRDefault="0FF6C459" w:rsidP="66A1DF9F">
      <w:pPr>
        <w:pStyle w:val="ListParagraph"/>
        <w:numPr>
          <w:ilvl w:val="0"/>
          <w:numId w:val="38"/>
        </w:numPr>
        <w:rPr>
          <w:i/>
          <w:iCs/>
          <w:color w:val="C45911" w:themeColor="accent2" w:themeShade="BF"/>
        </w:rPr>
      </w:pPr>
      <w:r>
        <w:t>The JP addresses a key aspect of financing that has not been systematically addressed in the past i.e the architecture and governance of financing. While many IFIs and bilateral donors (including USAID and EU) support the PFM reforms and macro-economic strategies, those reforms have been largely ad hoc and do not form part of a larger strategic approach across financing as a whole. Through this JP, the UN will for the first time become an actor to support the country’s development financing agenda and is well positioned to address the key gaps in institutional reforms that are needed to consolidate a holistic and integrated approach to financing.</w:t>
      </w:r>
    </w:p>
    <w:p w14:paraId="6F533BB0" w14:textId="37624D0E" w:rsidR="00C37CF4" w:rsidRPr="00CD3D9C" w:rsidRDefault="00C37CF4" w:rsidP="00B41E0B">
      <w:pPr>
        <w:pStyle w:val="ListParagraph"/>
        <w:numPr>
          <w:ilvl w:val="0"/>
          <w:numId w:val="38"/>
        </w:numPr>
        <w:rPr>
          <w:szCs w:val="20"/>
        </w:rPr>
      </w:pPr>
      <w:r w:rsidRPr="00CD3D9C">
        <w:rPr>
          <w:szCs w:val="20"/>
        </w:rPr>
        <w:t>The</w:t>
      </w:r>
      <w:r w:rsidR="000C26DD" w:rsidRPr="00CD3D9C">
        <w:rPr>
          <w:szCs w:val="20"/>
        </w:rPr>
        <w:t xml:space="preserve"> current</w:t>
      </w:r>
      <w:r w:rsidRPr="00CD3D9C">
        <w:rPr>
          <w:szCs w:val="20"/>
        </w:rPr>
        <w:t xml:space="preserve"> </w:t>
      </w:r>
      <w:r w:rsidR="000C26DD" w:rsidRPr="00CD3D9C">
        <w:rPr>
          <w:szCs w:val="20"/>
        </w:rPr>
        <w:t>implementation of the</w:t>
      </w:r>
      <w:r w:rsidRPr="00CD3D9C">
        <w:rPr>
          <w:szCs w:val="20"/>
        </w:rPr>
        <w:t xml:space="preserve"> DFA</w:t>
      </w:r>
      <w:r w:rsidR="000C26DD" w:rsidRPr="00CD3D9C">
        <w:rPr>
          <w:szCs w:val="20"/>
        </w:rPr>
        <w:t>/INFF inception phase</w:t>
      </w:r>
      <w:r w:rsidRPr="00CD3D9C">
        <w:rPr>
          <w:szCs w:val="20"/>
        </w:rPr>
        <w:t xml:space="preserve"> </w:t>
      </w:r>
      <w:r w:rsidR="000C26DD" w:rsidRPr="00CD3D9C">
        <w:rPr>
          <w:szCs w:val="20"/>
        </w:rPr>
        <w:t xml:space="preserve">together with support from the JP </w:t>
      </w:r>
      <w:r w:rsidRPr="00CD3D9C">
        <w:rPr>
          <w:szCs w:val="20"/>
        </w:rPr>
        <w:t xml:space="preserve">will facilitate the recognition and role of the private sector in delivering national development </w:t>
      </w:r>
      <w:r w:rsidR="00C000A5" w:rsidRPr="00CD3D9C">
        <w:rPr>
          <w:szCs w:val="20"/>
        </w:rPr>
        <w:t>and SDGs</w:t>
      </w:r>
      <w:r w:rsidR="00F51552" w:rsidRPr="00CD3D9C">
        <w:rPr>
          <w:szCs w:val="20"/>
        </w:rPr>
        <w:t>.</w:t>
      </w:r>
      <w:r w:rsidR="000671F4">
        <w:rPr>
          <w:szCs w:val="20"/>
        </w:rPr>
        <w:t xml:space="preserve"> The JP will strengthen </w:t>
      </w:r>
      <w:r w:rsidR="000671F4">
        <w:t>existing</w:t>
      </w:r>
      <w:r w:rsidR="000671F4" w:rsidRPr="00231E53">
        <w:t xml:space="preserve"> platforms/forums</w:t>
      </w:r>
      <w:r w:rsidR="000671F4">
        <w:t xml:space="preserve"> to</w:t>
      </w:r>
      <w:r w:rsidR="000671F4" w:rsidRPr="00231E53">
        <w:t xml:space="preserve"> enable regular </w:t>
      </w:r>
      <w:r w:rsidR="000671F4">
        <w:t>and effective</w:t>
      </w:r>
      <w:r w:rsidR="000671F4" w:rsidRPr="00231E53">
        <w:t xml:space="preserve"> dialogue with the private sector and civil society to strengthen coordination and trust between the government and domestic and international private sector representative</w:t>
      </w:r>
      <w:r w:rsidR="000671F4">
        <w:t>s.</w:t>
      </w:r>
    </w:p>
    <w:p w14:paraId="6AFF8FBA" w14:textId="1C7A83A2" w:rsidR="00B87831" w:rsidRPr="00AF47D8" w:rsidRDefault="6802066D" w:rsidP="66A1DF9F">
      <w:pPr>
        <w:pStyle w:val="ListParagraph"/>
        <w:numPr>
          <w:ilvl w:val="0"/>
          <w:numId w:val="38"/>
        </w:numPr>
        <w:rPr>
          <w:i/>
          <w:iCs/>
          <w:color w:val="C45911" w:themeColor="accent2" w:themeShade="BF"/>
        </w:rPr>
      </w:pPr>
      <w:bookmarkStart w:id="9" w:name="_Hlk34914348"/>
      <w:r>
        <w:t>The JP will apply a human capital</w:t>
      </w:r>
      <w:r w:rsidR="653AABCA">
        <w:t xml:space="preserve"> </w:t>
      </w:r>
      <w:r w:rsidR="0B63E00B">
        <w:t xml:space="preserve">development </w:t>
      </w:r>
      <w:r w:rsidR="1679C200">
        <w:t xml:space="preserve">and capacity </w:t>
      </w:r>
      <w:r w:rsidR="5847E7CA">
        <w:t>building</w:t>
      </w:r>
      <w:r>
        <w:t xml:space="preserve"> lens to all proposed costing </w:t>
      </w:r>
      <w:r w:rsidR="0B63E00B">
        <w:t>exercises</w:t>
      </w:r>
      <w:r>
        <w:t xml:space="preserve"> and investment need identification. </w:t>
      </w:r>
      <w:r w:rsidR="266495E6">
        <w:t xml:space="preserve">The costing exercises and the development of the National Integrated Financing Strategy will include a human capital development plan that mobilizes resources for skill development in social service provision. </w:t>
      </w:r>
      <w:r>
        <w:t>This include</w:t>
      </w:r>
      <w:r w:rsidR="0368B643">
        <w:t>s</w:t>
      </w:r>
      <w:r>
        <w:t xml:space="preserve"> investments in expanding skills, </w:t>
      </w:r>
      <w:r w:rsidR="49A935F4">
        <w:t xml:space="preserve">the </w:t>
      </w:r>
      <w:r>
        <w:t>human resource pool and reducing reliance on foreign labour</w:t>
      </w:r>
      <w:r w:rsidR="653AABCA">
        <w:t>, increasing opportunities for unemployed women</w:t>
      </w:r>
      <w:r>
        <w:t xml:space="preserve"> </w:t>
      </w:r>
      <w:r w:rsidR="5847E7CA">
        <w:t>and young people</w:t>
      </w:r>
      <w:r w:rsidR="653AABCA">
        <w:t>.</w:t>
      </w:r>
      <w:r w:rsidR="1A6F9F65">
        <w:t xml:space="preserve"> The JP will also prioritize </w:t>
      </w:r>
      <w:r w:rsidR="1679C200">
        <w:t xml:space="preserve">costing </w:t>
      </w:r>
      <w:r w:rsidR="1A6F9F65">
        <w:t xml:space="preserve">methodologies </w:t>
      </w:r>
      <w:r w:rsidR="1679C200">
        <w:t xml:space="preserve">that </w:t>
      </w:r>
      <w:r w:rsidR="1A6F9F65">
        <w:t>allow</w:t>
      </w:r>
      <w:r w:rsidR="1679C200">
        <w:t xml:space="preserve"> easy adoption by the government</w:t>
      </w:r>
      <w:r w:rsidR="1A6F9F65">
        <w:t xml:space="preserve"> to undertake periodic costing in the future</w:t>
      </w:r>
      <w:bookmarkEnd w:id="9"/>
      <w:r w:rsidR="1A6F9F65">
        <w:t>.</w:t>
      </w:r>
    </w:p>
    <w:p w14:paraId="28091B63" w14:textId="27F34543" w:rsidR="000C26DD" w:rsidRDefault="000C26DD" w:rsidP="00B41E0B">
      <w:pPr>
        <w:pStyle w:val="ListParagraph"/>
        <w:rPr>
          <w:i/>
          <w:color w:val="C45911" w:themeColor="accent2" w:themeShade="BF"/>
          <w:szCs w:val="20"/>
        </w:rPr>
      </w:pPr>
    </w:p>
    <w:p w14:paraId="678C07F4" w14:textId="08CA54E0" w:rsidR="00B87831" w:rsidRDefault="28552FD3" w:rsidP="00FC2FAA">
      <w:pPr>
        <w:ind w:left="360"/>
      </w:pPr>
      <w:bookmarkStart w:id="10" w:name="_Hlk36293131"/>
      <w:r>
        <w:t xml:space="preserve">The </w:t>
      </w:r>
      <w:r w:rsidR="2280759E">
        <w:t xml:space="preserve">JP aims to build on the ongoing </w:t>
      </w:r>
      <w:r w:rsidR="653AABCA">
        <w:t>SDG relevant mapping and reporting</w:t>
      </w:r>
      <w:r w:rsidR="2280759E">
        <w:t xml:space="preserve"> exercises to revisit the </w:t>
      </w:r>
      <w:r>
        <w:t>Maldives</w:t>
      </w:r>
      <w:r w:rsidR="2280759E">
        <w:t xml:space="preserve"> SDG agenda</w:t>
      </w:r>
      <w:r w:rsidR="49A935F4">
        <w:t>-</w:t>
      </w:r>
      <w:r w:rsidR="12D63268">
        <w:t xml:space="preserve"> particularly in the context of the impact of the Covid-19 crisis that is affecting the broader economy with spill-over effects on various vulnerable groups</w:t>
      </w:r>
      <w:r>
        <w:t xml:space="preserve">. </w:t>
      </w:r>
      <w:r w:rsidR="49A935F4">
        <w:t>From</w:t>
      </w:r>
      <w:r w:rsidR="2280759E">
        <w:t xml:space="preserve"> the launch of the SDGs in 2015 </w:t>
      </w:r>
      <w:r w:rsidR="49A935F4">
        <w:t>through</w:t>
      </w:r>
      <w:r w:rsidR="2280759E">
        <w:t xml:space="preserve"> </w:t>
      </w:r>
      <w:r w:rsidR="49A935F4">
        <w:t xml:space="preserve">the end of </w:t>
      </w:r>
      <w:r w:rsidR="2280759E">
        <w:t>201</w:t>
      </w:r>
      <w:r w:rsidR="544EA9C9">
        <w:t>9</w:t>
      </w:r>
      <w:r w:rsidR="2280759E">
        <w:t xml:space="preserve">, there has been </w:t>
      </w:r>
      <w:r>
        <w:t>limited focus on tracking progress against the SDGs</w:t>
      </w:r>
      <w:r w:rsidR="49A935F4">
        <w:t>. T</w:t>
      </w:r>
      <w:r>
        <w:t>he initial 2015 baseline for SDG indicators was only partially completed</w:t>
      </w:r>
      <w:r w:rsidR="2280759E">
        <w:t xml:space="preserve"> and the baseline updates have not been carried out</w:t>
      </w:r>
      <w:r w:rsidR="49A935F4">
        <w:t>.</w:t>
      </w:r>
      <w:r w:rsidR="2280759E">
        <w:t xml:space="preserve"> </w:t>
      </w:r>
      <w:r w:rsidR="49A935F4">
        <w:t>T</w:t>
      </w:r>
      <w:r w:rsidR="2280759E">
        <w:t xml:space="preserve">his has now been planned for mid-July 2020 by the National Bureau of Statistics. The performance audit by the Auditor General’s Office on the Maldives preparedness for implementing the SDGs highlighted the gaps in coordination, data gathering and the assessment of financing requirements. </w:t>
      </w:r>
      <w:r w:rsidR="0AC17439">
        <w:t>While the new government has formed a Ministry of National Planning and Infrastructure</w:t>
      </w:r>
      <w:r w:rsidR="09F59BBB">
        <w:t>,</w:t>
      </w:r>
      <w:r w:rsidR="0AC17439">
        <w:t xml:space="preserve"> and the SDGs coordination unit within the Ministry is trying to develop its coordination role and link with the national planning functions, the capacity of the technical team within the National Planning Section and the SDGs coordination unit is limited</w:t>
      </w:r>
      <w:r w:rsidR="2FB161FF">
        <w:t xml:space="preserve"> (a total of four staff).</w:t>
      </w:r>
      <w:r w:rsidR="0AC17439">
        <w:t xml:space="preserve"> The </w:t>
      </w:r>
      <w:r w:rsidR="2280759E">
        <w:t xml:space="preserve">JP </w:t>
      </w:r>
      <w:r w:rsidR="0AC17439">
        <w:t>therefore aims to revive the coordination processes</w:t>
      </w:r>
      <w:r w:rsidR="2280759E">
        <w:t xml:space="preserve"> </w:t>
      </w:r>
      <w:r w:rsidR="2FB161FF">
        <w:t>an</w:t>
      </w:r>
      <w:r>
        <w:t xml:space="preserve">d </w:t>
      </w:r>
      <w:r w:rsidR="09F59BBB">
        <w:t xml:space="preserve">build </w:t>
      </w:r>
      <w:r w:rsidR="0AC17439">
        <w:t>institutional capacity to bring SDGs to the center of the country’s development and financing agenda</w:t>
      </w:r>
      <w:r w:rsidR="09F59BBB">
        <w:t xml:space="preserve"> and take advantage of the “Decade of Action” to support the Maldives in advancing on the Agenda 2030</w:t>
      </w:r>
      <w:r w:rsidR="0AC17439">
        <w:t>.</w:t>
      </w:r>
      <w:r w:rsidR="2280759E">
        <w:t xml:space="preserve"> </w:t>
      </w:r>
      <w:r w:rsidR="0AC17439">
        <w:t xml:space="preserve">Furthermore, the project aims to accelerate the delivery of SDG targets </w:t>
      </w:r>
      <w:r w:rsidR="71299BEE">
        <w:t xml:space="preserve">in </w:t>
      </w:r>
      <w:r w:rsidR="5849AEF3">
        <w:t xml:space="preserve">Table </w:t>
      </w:r>
      <w:r w:rsidR="71299BEE">
        <w:t xml:space="preserve">1 through improved </w:t>
      </w:r>
      <w:r w:rsidR="09F59BBB">
        <w:t xml:space="preserve">prioritization, monitoring, </w:t>
      </w:r>
      <w:r w:rsidR="71299BEE">
        <w:t xml:space="preserve">measurement, tracking and </w:t>
      </w:r>
      <w:r w:rsidR="09F59BBB">
        <w:t>reporting</w:t>
      </w:r>
      <w:r w:rsidR="71299BEE">
        <w:t xml:space="preserve">. </w:t>
      </w:r>
      <w:r w:rsidR="34D639B6">
        <w:t xml:space="preserve">It is expected that the </w:t>
      </w:r>
      <w:r w:rsidR="12D63268">
        <w:t>JP will contribute to</w:t>
      </w:r>
      <w:r w:rsidR="34D639B6">
        <w:t xml:space="preserve"> SDG targets relevant to climate action (Goal 2, 6, 7, 11, 14, 15)</w:t>
      </w:r>
      <w:r w:rsidR="5849AEF3">
        <w:t>;</w:t>
      </w:r>
      <w:r w:rsidR="34D639B6">
        <w:t xml:space="preserve"> and social services (Goal </w:t>
      </w:r>
      <w:r w:rsidR="5DE5FA3A">
        <w:t xml:space="preserve">1, </w:t>
      </w:r>
      <w:r w:rsidR="34D639B6">
        <w:t xml:space="preserve">2, 3, 4, 5, 7, 10). </w:t>
      </w:r>
      <w:bookmarkEnd w:id="10"/>
    </w:p>
    <w:p w14:paraId="5526BA63" w14:textId="77777777" w:rsidR="00FC2FAA" w:rsidRPr="00CD3D9C" w:rsidRDefault="00FC2FAA" w:rsidP="00FC2FAA">
      <w:pPr>
        <w:ind w:left="360"/>
        <w:rPr>
          <w:i/>
          <w:color w:val="C45911" w:themeColor="accent2" w:themeShade="BF"/>
          <w:szCs w:val="20"/>
        </w:rPr>
      </w:pPr>
    </w:p>
    <w:p w14:paraId="6C5ACBB6" w14:textId="26E77638" w:rsidR="003D749E" w:rsidRPr="00CD3D9C" w:rsidRDefault="5D47A8D1" w:rsidP="00B41E0B">
      <w:r>
        <w:t xml:space="preserve">The UN is well positioned to play a key role in facilitating the overall reform that is being envisaged in the </w:t>
      </w:r>
      <w:r w:rsidR="4E30D999">
        <w:t>JP</w:t>
      </w:r>
      <w:r w:rsidR="5849AEF3">
        <w:t>,</w:t>
      </w:r>
      <w:r>
        <w:t xml:space="preserve"> i.e</w:t>
      </w:r>
      <w:r w:rsidR="7FF61383">
        <w:t>.</w:t>
      </w:r>
      <w:r>
        <w:t xml:space="preserve"> to strengthen the medium to long term national planning processes</w:t>
      </w:r>
      <w:r w:rsidR="7AD1E453">
        <w:t xml:space="preserve">, </w:t>
      </w:r>
      <w:r w:rsidR="01EA9F9D">
        <w:t>prioritization</w:t>
      </w:r>
      <w:r w:rsidR="7AD1E453">
        <w:t xml:space="preserve"> of SDGs within the national planning process</w:t>
      </w:r>
      <w:r w:rsidR="5849AEF3">
        <w:t>,</w:t>
      </w:r>
      <w:r>
        <w:t xml:space="preserve"> and</w:t>
      </w:r>
      <w:r w:rsidR="7AD1E453">
        <w:t xml:space="preserve"> facilitating</w:t>
      </w:r>
      <w:r>
        <w:t xml:space="preserve"> its </w:t>
      </w:r>
      <w:r>
        <w:lastRenderedPageBreak/>
        <w:t xml:space="preserve">alignment with financing. The UN has supported several initiatives in this regard including </w:t>
      </w:r>
      <w:r w:rsidR="2F50DFC1">
        <w:t>the current support for the</w:t>
      </w:r>
      <w:r>
        <w:t xml:space="preserve"> </w:t>
      </w:r>
      <w:r w:rsidR="653AABCA">
        <w:t>DFA</w:t>
      </w:r>
      <w:r w:rsidR="2F50DFC1">
        <w:t>/INFF inception phase.</w:t>
      </w:r>
      <w:r>
        <w:t xml:space="preserve"> Similarly, </w:t>
      </w:r>
      <w:r w:rsidR="4E30D999">
        <w:t xml:space="preserve">the </w:t>
      </w:r>
      <w:r>
        <w:t>UN has provided technical support to the preparation of the five</w:t>
      </w:r>
      <w:r w:rsidR="4F08227C">
        <w:t xml:space="preserve">-year </w:t>
      </w:r>
      <w:r>
        <w:t xml:space="preserve">national planning development framework, the </w:t>
      </w:r>
      <w:r w:rsidR="2F50DFC1">
        <w:t>SAP. The UN</w:t>
      </w:r>
      <w:r>
        <w:t xml:space="preserve"> </w:t>
      </w:r>
      <w:r w:rsidR="2F50DFC1">
        <w:t>is currently providing capacity building support to the Government to roll</w:t>
      </w:r>
      <w:r>
        <w:t xml:space="preserve"> out</w:t>
      </w:r>
      <w:r w:rsidR="2F50DFC1">
        <w:t xml:space="preserve"> and monitor the SAP.</w:t>
      </w:r>
      <w:r>
        <w:t xml:space="preserve"> </w:t>
      </w:r>
      <w:r w:rsidR="2F50DFC1">
        <w:t xml:space="preserve">The UN is further supporting a mapping exercise of the SAP to understand the coverage and level of alignment of SDGs in the SAP. </w:t>
      </w:r>
      <w:r w:rsidR="4F08227C">
        <w:t>The UN also plans to support SDG prioritization exercises with the SDG Coordination Unit of the Ministry of National Planning and Infrastructure. Through these initiatives and the development of this joint proposal</w:t>
      </w:r>
      <w:r w:rsidR="4E30D999">
        <w:t>,</w:t>
      </w:r>
      <w:r w:rsidR="4F08227C">
        <w:t xml:space="preserve"> UN has facilitated meetings and dialogue to build the coordination and working relationship between the two core ministries; the Ministry of Finance and the Ministry of National Planning and Infrastructure. </w:t>
      </w:r>
    </w:p>
    <w:p w14:paraId="7EE8BEEA" w14:textId="77777777" w:rsidR="003D749E" w:rsidRPr="00CD3D9C" w:rsidRDefault="003D749E" w:rsidP="00B41E0B">
      <w:pPr>
        <w:rPr>
          <w:szCs w:val="20"/>
        </w:rPr>
      </w:pPr>
    </w:p>
    <w:p w14:paraId="4C2C1751" w14:textId="0DBFAC72" w:rsidR="002D4E67" w:rsidRPr="00CD3D9C" w:rsidRDefault="00B2278F" w:rsidP="00B41E0B">
      <w:pPr>
        <w:rPr>
          <w:szCs w:val="20"/>
        </w:rPr>
      </w:pPr>
      <w:r w:rsidRPr="00CD3D9C">
        <w:rPr>
          <w:szCs w:val="20"/>
        </w:rPr>
        <w:t xml:space="preserve">As the only resident development partner (other than few overseas diplomatic </w:t>
      </w:r>
      <w:r w:rsidR="00F70D7D">
        <w:rPr>
          <w:szCs w:val="20"/>
        </w:rPr>
        <w:t>presences</w:t>
      </w:r>
      <w:r w:rsidRPr="00CD3D9C">
        <w:rPr>
          <w:szCs w:val="20"/>
        </w:rPr>
        <w:t xml:space="preserve">) in the country, the UN agencies are well positioned to leverage </w:t>
      </w:r>
      <w:r w:rsidR="009A2710">
        <w:rPr>
          <w:szCs w:val="20"/>
        </w:rPr>
        <w:t xml:space="preserve">their presence </w:t>
      </w:r>
      <w:r w:rsidRPr="00CD3D9C">
        <w:rPr>
          <w:szCs w:val="20"/>
        </w:rPr>
        <w:t xml:space="preserve">to facilitate continued dialogue, </w:t>
      </w:r>
      <w:r w:rsidR="00FE26A0">
        <w:rPr>
          <w:szCs w:val="20"/>
        </w:rPr>
        <w:t>capacity building,</w:t>
      </w:r>
      <w:r w:rsidR="00FE26A0" w:rsidRPr="00CD3D9C">
        <w:rPr>
          <w:szCs w:val="20"/>
        </w:rPr>
        <w:t xml:space="preserve"> </w:t>
      </w:r>
      <w:r w:rsidRPr="00CD3D9C">
        <w:rPr>
          <w:szCs w:val="20"/>
        </w:rPr>
        <w:t>and advocacy for institutional/longer term reform</w:t>
      </w:r>
      <w:r w:rsidR="002D4E67" w:rsidRPr="00CD3D9C">
        <w:rPr>
          <w:szCs w:val="20"/>
        </w:rPr>
        <w:t>. It is also well placed to bring together the support of the</w:t>
      </w:r>
      <w:r w:rsidR="00916FFC" w:rsidRPr="00CD3D9C">
        <w:rPr>
          <w:szCs w:val="20"/>
        </w:rPr>
        <w:t xml:space="preserve"> non-resident</w:t>
      </w:r>
      <w:r w:rsidR="002D4E67" w:rsidRPr="00CD3D9C">
        <w:rPr>
          <w:szCs w:val="20"/>
        </w:rPr>
        <w:t xml:space="preserve"> IFIs and the relevant donors to deliver their </w:t>
      </w:r>
      <w:r w:rsidR="00802488" w:rsidRPr="00CD3D9C">
        <w:rPr>
          <w:szCs w:val="20"/>
        </w:rPr>
        <w:t>assistance on financing</w:t>
      </w:r>
      <w:r w:rsidR="002D4E67" w:rsidRPr="00CD3D9C">
        <w:rPr>
          <w:szCs w:val="20"/>
        </w:rPr>
        <w:t xml:space="preserve"> in a coordinated and strategic manner.  </w:t>
      </w:r>
    </w:p>
    <w:p w14:paraId="604880E5" w14:textId="39BA60F3" w:rsidR="00D76AD8" w:rsidRPr="00CD3D9C" w:rsidRDefault="002D4E67" w:rsidP="00B41E0B">
      <w:pPr>
        <w:rPr>
          <w:szCs w:val="20"/>
        </w:rPr>
      </w:pPr>
      <w:r w:rsidRPr="00CD3D9C">
        <w:rPr>
          <w:szCs w:val="20"/>
        </w:rPr>
        <w:t xml:space="preserve"> </w:t>
      </w:r>
    </w:p>
    <w:p w14:paraId="0C612910" w14:textId="0D4736F5" w:rsidR="00EB325E" w:rsidRPr="00CD3D9C" w:rsidRDefault="4F08227C" w:rsidP="00B41E0B">
      <w:r>
        <w:t>The UN agencies bring</w:t>
      </w:r>
      <w:r w:rsidR="39DBEF82">
        <w:t xml:space="preserve"> together existing expertise, lessons from other countries and tools to effectively deliver the INFF process in the Maldives. UNDP Maldives has already tapped the existing in-house expertise, country experiences</w:t>
      </w:r>
      <w:r w:rsidR="209469CE">
        <w:t>,</w:t>
      </w:r>
      <w:r w:rsidR="39DBEF82">
        <w:t xml:space="preserve"> and tools on DFA and INFF roadmap</w:t>
      </w:r>
      <w:r w:rsidR="579EAC77">
        <w:t xml:space="preserve"> formulation</w:t>
      </w:r>
      <w:r w:rsidR="39DBEF82">
        <w:t xml:space="preserve"> through collaboration with the UNDP Bangkok Regional Hub</w:t>
      </w:r>
      <w:r w:rsidR="24ED2FB2">
        <w:t xml:space="preserve"> and the UNDP global Finance Sector Hub (FSH)</w:t>
      </w:r>
      <w:r w:rsidR="39DBEF82">
        <w:t xml:space="preserve">. </w:t>
      </w:r>
      <w:r w:rsidR="1FAF7E25">
        <w:t xml:space="preserve">UNDP Maldives </w:t>
      </w:r>
      <w:r w:rsidR="39DBEF82">
        <w:t>will also be able to accelerate the efforts of the global UNDP climate promise initiative to leverage advocacy with a broader range of stakeholders to mobilize additional climate finance</w:t>
      </w:r>
      <w:r w:rsidR="579EAC77">
        <w:t xml:space="preserve"> for the Maldives</w:t>
      </w:r>
      <w:r w:rsidR="39DBEF82">
        <w:t xml:space="preserve">. </w:t>
      </w:r>
      <w:r w:rsidR="24ED2FB2">
        <w:t>WHO has been supporting Member States to develop and strengthen health financing systems guided by the 2011 World Health Assembly Resolution</w:t>
      </w:r>
      <w:r w:rsidR="2F50DFC1">
        <w:t xml:space="preserve">. </w:t>
      </w:r>
      <w:r w:rsidR="24ED2FB2">
        <w:t>WHO will facilitate bringing expertise beyond WHO for high quality technical assistance from Alliance for Health Policy and Systems Research and also WHO Collaborating Centers in the areas of health financing and beyond.</w:t>
      </w:r>
      <w:r w:rsidR="12D63268">
        <w:t xml:space="preserve"> </w:t>
      </w:r>
      <w:r w:rsidR="579EAC77">
        <w:t xml:space="preserve">UNFPA has existing technical expertise on population projection with age and gender responsive costing exercise including the intergenerational transfer account which provides a coherent accounting framework of economic flows from one age group or generation to another. </w:t>
      </w:r>
      <w:bookmarkStart w:id="11" w:name="_Hlk34856456"/>
      <w:r w:rsidR="0614D218">
        <w:t xml:space="preserve">UNICEF has global expertise in the area of Public Finance for Children </w:t>
      </w:r>
      <w:r w:rsidR="579EAC77">
        <w:t xml:space="preserve">which will be </w:t>
      </w:r>
      <w:r w:rsidR="7FF61383">
        <w:t>mobilized</w:t>
      </w:r>
      <w:r w:rsidR="0614D218">
        <w:t xml:space="preserve"> for the JP</w:t>
      </w:r>
      <w:r w:rsidR="579EAC77">
        <w:t xml:space="preserve">. </w:t>
      </w:r>
      <w:bookmarkEnd w:id="11"/>
      <w:r w:rsidR="0614D218">
        <w:t xml:space="preserve">Furthermore, being the leading voice for the implementation of the child-related SDG indicators and being the custodian of 7 SDGs and co-custodian for another 10 indicators, UNICEF is well positioned to provide technical expertise towards this JP. </w:t>
      </w:r>
      <w:r>
        <w:t xml:space="preserve"> </w:t>
      </w:r>
    </w:p>
    <w:p w14:paraId="46F9BCD2" w14:textId="75CDAB9D" w:rsidR="006A0A55" w:rsidRPr="00CD3D9C" w:rsidRDefault="006A0A55" w:rsidP="00B41E0B">
      <w:pPr>
        <w:rPr>
          <w:szCs w:val="20"/>
        </w:rPr>
      </w:pPr>
    </w:p>
    <w:p w14:paraId="2E180802" w14:textId="55141B62" w:rsidR="00E11C6E" w:rsidRPr="00CD3D9C" w:rsidRDefault="0DEB944B" w:rsidP="00B41E0B">
      <w:r>
        <w:t>The</w:t>
      </w:r>
      <w:r w:rsidR="523021EF">
        <w:t xml:space="preserve"> Government of Maldives medium term national development plan, the</w:t>
      </w:r>
      <w:r>
        <w:t xml:space="preserve"> SAP</w:t>
      </w:r>
      <w:r w:rsidR="523021EF">
        <w:t xml:space="preserve"> outlines priorities within</w:t>
      </w:r>
      <w:r>
        <w:t xml:space="preserve"> five sectors; (i) Blue economy – outlines economic priorities and how it will be delivered in a sustainable manner, (ii) Caring state – outlines priorities relevant to social progress, (iii) Dignified families – outlines priorities that address inequality and needs of disadvantaged groups, (iv) Jazeera dhiriulhun – outlines priorities relevant to community infrastructure and services including climate resilience (v) Good governance – outlines key governance reforms. Each sector is composed of several sub-sectors. There are 33 sub-sectors in the SAP. The JP contributes to the sectors, Caring state and Jazeera dhiriulhun. </w:t>
      </w:r>
      <w:r w:rsidR="683B19C2">
        <w:t xml:space="preserve">Table 2 summarizes the national priorities </w:t>
      </w:r>
      <w:r w:rsidR="2280759E">
        <w:t xml:space="preserve">(which have been directly taken from the </w:t>
      </w:r>
      <w:r w:rsidR="022CCCE1">
        <w:t>medium-term</w:t>
      </w:r>
      <w:r w:rsidR="2280759E">
        <w:t xml:space="preserve"> develo</w:t>
      </w:r>
      <w:r w:rsidR="5B8176F4">
        <w:t>p</w:t>
      </w:r>
      <w:r w:rsidR="2280759E">
        <w:t xml:space="preserve">ment framework, SAP) </w:t>
      </w:r>
      <w:r w:rsidR="683B19C2">
        <w:t>relevant to the JP.</w:t>
      </w:r>
    </w:p>
    <w:tbl>
      <w:tblPr>
        <w:tblStyle w:val="TableGrid"/>
        <w:tblpPr w:leftFromText="180" w:rightFromText="180" w:vertAnchor="text" w:tblpY="413"/>
        <w:tblW w:w="0" w:type="auto"/>
        <w:tblLook w:val="04A0" w:firstRow="1" w:lastRow="0" w:firstColumn="1" w:lastColumn="0" w:noHBand="0" w:noVBand="1"/>
      </w:tblPr>
      <w:tblGrid>
        <w:gridCol w:w="1532"/>
        <w:gridCol w:w="6397"/>
        <w:gridCol w:w="1421"/>
      </w:tblGrid>
      <w:tr w:rsidR="0081556D" w:rsidRPr="00CD3D9C" w14:paraId="2A7E7A5C" w14:textId="77777777" w:rsidTr="00EB325E">
        <w:tc>
          <w:tcPr>
            <w:tcW w:w="9350" w:type="dxa"/>
            <w:gridSpan w:val="3"/>
          </w:tcPr>
          <w:p w14:paraId="5DB2AC07" w14:textId="1B8B8E9D" w:rsidR="0081556D" w:rsidRPr="00CD3D9C" w:rsidRDefault="0081556D" w:rsidP="00EB325E">
            <w:pPr>
              <w:rPr>
                <w:iCs/>
                <w:color w:val="000000" w:themeColor="text1"/>
                <w:szCs w:val="20"/>
              </w:rPr>
            </w:pPr>
            <w:bookmarkStart w:id="12" w:name="_Hlk36289458"/>
            <w:r w:rsidRPr="00CD3D9C">
              <w:rPr>
                <w:iCs/>
                <w:color w:val="000000" w:themeColor="text1"/>
                <w:szCs w:val="20"/>
              </w:rPr>
              <w:t xml:space="preserve">Table </w:t>
            </w:r>
            <w:r w:rsidR="00F05958">
              <w:rPr>
                <w:iCs/>
                <w:color w:val="000000" w:themeColor="text1"/>
                <w:szCs w:val="20"/>
              </w:rPr>
              <w:t>2</w:t>
            </w:r>
            <w:r w:rsidRPr="00CD3D9C">
              <w:rPr>
                <w:iCs/>
                <w:color w:val="000000" w:themeColor="text1"/>
                <w:szCs w:val="20"/>
              </w:rPr>
              <w:t xml:space="preserve"> – JP relevance to the medium</w:t>
            </w:r>
            <w:r w:rsidR="00E578F9" w:rsidRPr="00CD3D9C">
              <w:rPr>
                <w:iCs/>
                <w:color w:val="000000" w:themeColor="text1"/>
                <w:szCs w:val="20"/>
              </w:rPr>
              <w:t>-</w:t>
            </w:r>
            <w:r w:rsidRPr="00CD3D9C">
              <w:rPr>
                <w:iCs/>
                <w:color w:val="000000" w:themeColor="text1"/>
                <w:szCs w:val="20"/>
              </w:rPr>
              <w:t xml:space="preserve">term national development plan, SAP </w:t>
            </w:r>
          </w:p>
        </w:tc>
      </w:tr>
      <w:tr w:rsidR="0081556D" w:rsidRPr="00CD3D9C" w14:paraId="216544C9" w14:textId="77777777" w:rsidTr="00126097">
        <w:tc>
          <w:tcPr>
            <w:tcW w:w="1532" w:type="dxa"/>
          </w:tcPr>
          <w:p w14:paraId="5128F1E3" w14:textId="3C8A99AA" w:rsidR="0081556D" w:rsidRPr="00CD3D9C" w:rsidRDefault="00126097" w:rsidP="00EB325E">
            <w:pPr>
              <w:rPr>
                <w:b/>
                <w:bCs/>
                <w:iCs/>
                <w:color w:val="000000" w:themeColor="text1"/>
                <w:szCs w:val="20"/>
              </w:rPr>
            </w:pPr>
            <w:r w:rsidRPr="00CD3D9C">
              <w:rPr>
                <w:b/>
                <w:bCs/>
                <w:iCs/>
                <w:color w:val="000000" w:themeColor="text1"/>
                <w:szCs w:val="20"/>
              </w:rPr>
              <w:t xml:space="preserve">SAP </w:t>
            </w:r>
            <w:r w:rsidR="0081556D" w:rsidRPr="00CD3D9C">
              <w:rPr>
                <w:b/>
                <w:bCs/>
                <w:iCs/>
                <w:color w:val="000000" w:themeColor="text1"/>
                <w:szCs w:val="20"/>
              </w:rPr>
              <w:t>Subsector</w:t>
            </w:r>
          </w:p>
        </w:tc>
        <w:tc>
          <w:tcPr>
            <w:tcW w:w="6397" w:type="dxa"/>
          </w:tcPr>
          <w:p w14:paraId="2AD482D5" w14:textId="51D32A66" w:rsidR="0081556D" w:rsidRPr="00CD3D9C" w:rsidRDefault="0081556D" w:rsidP="00EB325E">
            <w:pPr>
              <w:rPr>
                <w:b/>
                <w:bCs/>
                <w:iCs/>
                <w:color w:val="000000" w:themeColor="text1"/>
                <w:szCs w:val="20"/>
              </w:rPr>
            </w:pPr>
            <w:r w:rsidRPr="00CD3D9C">
              <w:rPr>
                <w:b/>
                <w:bCs/>
                <w:iCs/>
                <w:color w:val="000000" w:themeColor="text1"/>
                <w:szCs w:val="20"/>
              </w:rPr>
              <w:t xml:space="preserve"> </w:t>
            </w:r>
            <w:r w:rsidR="00126097" w:rsidRPr="00CD3D9C">
              <w:rPr>
                <w:b/>
                <w:bCs/>
                <w:iCs/>
                <w:color w:val="000000" w:themeColor="text1"/>
                <w:szCs w:val="20"/>
              </w:rPr>
              <w:t xml:space="preserve">SAP </w:t>
            </w:r>
            <w:r w:rsidRPr="00CD3D9C">
              <w:rPr>
                <w:b/>
                <w:bCs/>
                <w:iCs/>
                <w:color w:val="000000" w:themeColor="text1"/>
                <w:szCs w:val="20"/>
              </w:rPr>
              <w:t xml:space="preserve">Policy targets and actions </w:t>
            </w:r>
          </w:p>
        </w:tc>
        <w:tc>
          <w:tcPr>
            <w:tcW w:w="1421" w:type="dxa"/>
          </w:tcPr>
          <w:p w14:paraId="35ABF867" w14:textId="77777777" w:rsidR="0081556D" w:rsidRPr="00CD3D9C" w:rsidRDefault="0081556D" w:rsidP="00EB325E">
            <w:pPr>
              <w:rPr>
                <w:b/>
                <w:bCs/>
                <w:iCs/>
                <w:color w:val="000000" w:themeColor="text1"/>
                <w:szCs w:val="20"/>
              </w:rPr>
            </w:pPr>
            <w:r w:rsidRPr="00CD3D9C">
              <w:rPr>
                <w:b/>
                <w:bCs/>
                <w:iCs/>
                <w:color w:val="000000" w:themeColor="text1"/>
                <w:szCs w:val="20"/>
              </w:rPr>
              <w:t xml:space="preserve">Relevance to the JP </w:t>
            </w:r>
          </w:p>
        </w:tc>
      </w:tr>
      <w:tr w:rsidR="00E625AB" w:rsidRPr="00CD3D9C" w14:paraId="1A92E706" w14:textId="77777777" w:rsidTr="00126097">
        <w:tc>
          <w:tcPr>
            <w:tcW w:w="1532" w:type="dxa"/>
          </w:tcPr>
          <w:p w14:paraId="45C62A01" w14:textId="2EB4E68E" w:rsidR="00E625AB" w:rsidRPr="00CD3D9C" w:rsidRDefault="00E625AB" w:rsidP="00E625AB">
            <w:pPr>
              <w:rPr>
                <w:iCs/>
                <w:color w:val="000000" w:themeColor="text1"/>
                <w:szCs w:val="20"/>
              </w:rPr>
            </w:pPr>
            <w:r w:rsidRPr="00CD3D9C">
              <w:rPr>
                <w:szCs w:val="20"/>
              </w:rPr>
              <w:lastRenderedPageBreak/>
              <w:t>Resilient Communities</w:t>
            </w:r>
          </w:p>
        </w:tc>
        <w:tc>
          <w:tcPr>
            <w:tcW w:w="6397" w:type="dxa"/>
          </w:tcPr>
          <w:p w14:paraId="5E464AE4" w14:textId="5C6B66D4" w:rsidR="00E625AB" w:rsidRPr="00834906" w:rsidRDefault="00E625AB" w:rsidP="00834906">
            <w:pPr>
              <w:rPr>
                <w:szCs w:val="20"/>
              </w:rPr>
            </w:pPr>
            <w:r w:rsidRPr="00CD3D9C">
              <w:rPr>
                <w:szCs w:val="20"/>
              </w:rPr>
              <w:t>Policy Target 6.2: By 2023, at least USD 10 million new private investments leveraged for low emission and adaptation measures.</w:t>
            </w:r>
          </w:p>
        </w:tc>
        <w:tc>
          <w:tcPr>
            <w:tcW w:w="1421" w:type="dxa"/>
          </w:tcPr>
          <w:p w14:paraId="49B4078F" w14:textId="418406FD" w:rsidR="00E625AB" w:rsidRPr="00CD3D9C" w:rsidRDefault="00E625AB" w:rsidP="00E625AB">
            <w:pPr>
              <w:rPr>
                <w:b/>
                <w:bCs/>
                <w:iCs/>
                <w:color w:val="000000" w:themeColor="text1"/>
                <w:szCs w:val="20"/>
              </w:rPr>
            </w:pPr>
            <w:r w:rsidRPr="00CD3D9C">
              <w:rPr>
                <w:iCs/>
                <w:color w:val="000000" w:themeColor="text1"/>
                <w:szCs w:val="20"/>
              </w:rPr>
              <w:t>Output 2.1, 2.2 and 3.2</w:t>
            </w:r>
          </w:p>
        </w:tc>
      </w:tr>
      <w:tr w:rsidR="00E625AB" w:rsidRPr="00CD3D9C" w14:paraId="372EA3EF" w14:textId="77777777" w:rsidTr="00126097">
        <w:tc>
          <w:tcPr>
            <w:tcW w:w="1532" w:type="dxa"/>
          </w:tcPr>
          <w:p w14:paraId="52932E82" w14:textId="725C8B37" w:rsidR="00E625AB" w:rsidRPr="00CD3D9C" w:rsidRDefault="00E625AB" w:rsidP="00E625AB">
            <w:pPr>
              <w:rPr>
                <w:szCs w:val="20"/>
              </w:rPr>
            </w:pPr>
            <w:r w:rsidRPr="00CD3D9C">
              <w:rPr>
                <w:szCs w:val="20"/>
              </w:rPr>
              <w:t>Accountable State</w:t>
            </w:r>
          </w:p>
        </w:tc>
        <w:tc>
          <w:tcPr>
            <w:tcW w:w="6397" w:type="dxa"/>
          </w:tcPr>
          <w:p w14:paraId="736C0059" w14:textId="03646A6F" w:rsidR="00E625AB" w:rsidRPr="00CD3D9C" w:rsidRDefault="00E625AB" w:rsidP="00834906">
            <w:pPr>
              <w:rPr>
                <w:szCs w:val="20"/>
              </w:rPr>
            </w:pPr>
            <w:r w:rsidRPr="00CD3D9C">
              <w:rPr>
                <w:szCs w:val="20"/>
              </w:rPr>
              <w:t>Policy Target 3.3: By 2023, reduce budgetary deviations to 15% of the Approved Budge</w:t>
            </w:r>
            <w:r w:rsidR="00771649">
              <w:rPr>
                <w:szCs w:val="20"/>
              </w:rPr>
              <w:t>t</w:t>
            </w:r>
            <w:r w:rsidRPr="00CD3D9C">
              <w:rPr>
                <w:szCs w:val="20"/>
              </w:rPr>
              <w:t>.</w:t>
            </w:r>
          </w:p>
        </w:tc>
        <w:tc>
          <w:tcPr>
            <w:tcW w:w="1421" w:type="dxa"/>
          </w:tcPr>
          <w:p w14:paraId="11564F58" w14:textId="1B5FC1D1" w:rsidR="00E625AB" w:rsidRPr="00CD3D9C" w:rsidRDefault="00E625AB" w:rsidP="00E625AB">
            <w:pPr>
              <w:rPr>
                <w:color w:val="000000" w:themeColor="text1"/>
                <w:szCs w:val="20"/>
              </w:rPr>
            </w:pPr>
            <w:r w:rsidRPr="00CD3D9C">
              <w:rPr>
                <w:iCs/>
                <w:color w:val="000000" w:themeColor="text1"/>
                <w:szCs w:val="20"/>
              </w:rPr>
              <w:t xml:space="preserve">Output 1.2, 2.1 and 2.2 </w:t>
            </w:r>
          </w:p>
        </w:tc>
      </w:tr>
      <w:tr w:rsidR="00E625AB" w:rsidRPr="00CD3D9C" w14:paraId="1862AEBC" w14:textId="77777777" w:rsidTr="00126097">
        <w:tc>
          <w:tcPr>
            <w:tcW w:w="1532" w:type="dxa"/>
          </w:tcPr>
          <w:p w14:paraId="09152FDF" w14:textId="31DCD2B9" w:rsidR="00E625AB" w:rsidRPr="00CD3D9C" w:rsidRDefault="00BE0148" w:rsidP="00E625AB">
            <w:pPr>
              <w:rPr>
                <w:iCs/>
                <w:color w:val="000000" w:themeColor="text1"/>
                <w:szCs w:val="20"/>
              </w:rPr>
            </w:pPr>
            <w:r w:rsidRPr="00CD3D9C">
              <w:rPr>
                <w:iCs/>
                <w:color w:val="000000" w:themeColor="text1"/>
                <w:szCs w:val="20"/>
              </w:rPr>
              <w:t xml:space="preserve">Health </w:t>
            </w:r>
          </w:p>
        </w:tc>
        <w:tc>
          <w:tcPr>
            <w:tcW w:w="6397" w:type="dxa"/>
          </w:tcPr>
          <w:p w14:paraId="0DAD7C92" w14:textId="7D64EE32" w:rsidR="00E625AB" w:rsidRPr="00CD3D9C" w:rsidRDefault="00834906" w:rsidP="00E625AB">
            <w:pPr>
              <w:rPr>
                <w:iCs/>
                <w:color w:val="000000" w:themeColor="text1"/>
                <w:szCs w:val="20"/>
              </w:rPr>
            </w:pPr>
            <w:r>
              <w:rPr>
                <w:iCs/>
                <w:color w:val="000000" w:themeColor="text1"/>
                <w:szCs w:val="20"/>
              </w:rPr>
              <w:t xml:space="preserve">Policy </w:t>
            </w:r>
            <w:r w:rsidR="00BE0148" w:rsidRPr="00CD3D9C">
              <w:rPr>
                <w:iCs/>
                <w:color w:val="000000" w:themeColor="text1"/>
                <w:szCs w:val="20"/>
              </w:rPr>
              <w:t xml:space="preserve">Target 1.4: </w:t>
            </w:r>
            <w:r w:rsidR="00E625AB" w:rsidRPr="00CD3D9C">
              <w:rPr>
                <w:iCs/>
                <w:color w:val="000000" w:themeColor="text1"/>
                <w:szCs w:val="20"/>
              </w:rPr>
              <w:t>By 2023 government spending on public health protection increased by 10% compared to 2018 levels</w:t>
            </w:r>
          </w:p>
          <w:p w14:paraId="0CDA255A" w14:textId="5B4B9374" w:rsidR="00BE0148" w:rsidRPr="00CD3D9C" w:rsidRDefault="00834906" w:rsidP="00BE0148">
            <w:pPr>
              <w:rPr>
                <w:iCs/>
                <w:color w:val="000000" w:themeColor="text1"/>
                <w:szCs w:val="20"/>
              </w:rPr>
            </w:pPr>
            <w:r>
              <w:rPr>
                <w:iCs/>
                <w:color w:val="000000" w:themeColor="text1"/>
                <w:szCs w:val="20"/>
              </w:rPr>
              <w:t xml:space="preserve">Policy </w:t>
            </w:r>
            <w:r w:rsidR="00BE0148" w:rsidRPr="00CD3D9C">
              <w:rPr>
                <w:iCs/>
                <w:color w:val="000000" w:themeColor="text1"/>
                <w:szCs w:val="20"/>
              </w:rPr>
              <w:t>Target 4.3: By 2023, cost of essential medicines reduced by at least 33% compared to 2018 level</w:t>
            </w:r>
          </w:p>
        </w:tc>
        <w:tc>
          <w:tcPr>
            <w:tcW w:w="1421" w:type="dxa"/>
          </w:tcPr>
          <w:p w14:paraId="27D7AF09" w14:textId="6E9639C7" w:rsidR="00E625AB" w:rsidRPr="00CD3D9C" w:rsidRDefault="00E625AB" w:rsidP="00E625AB">
            <w:pPr>
              <w:rPr>
                <w:iCs/>
                <w:color w:val="000000" w:themeColor="text1"/>
                <w:szCs w:val="20"/>
              </w:rPr>
            </w:pPr>
            <w:r w:rsidRPr="00CD3D9C">
              <w:rPr>
                <w:iCs/>
                <w:color w:val="000000" w:themeColor="text1"/>
                <w:szCs w:val="20"/>
              </w:rPr>
              <w:t>Output 1.2 and 2.2</w:t>
            </w:r>
          </w:p>
        </w:tc>
      </w:tr>
      <w:tr w:rsidR="00E625AB" w:rsidRPr="00CD3D9C" w14:paraId="2426D46F" w14:textId="77777777" w:rsidTr="00126097">
        <w:tc>
          <w:tcPr>
            <w:tcW w:w="1532" w:type="dxa"/>
          </w:tcPr>
          <w:p w14:paraId="44A5B81C" w14:textId="34F0BD0A" w:rsidR="00E625AB" w:rsidRPr="00CD3D9C" w:rsidRDefault="00BE0148" w:rsidP="00E625AB">
            <w:pPr>
              <w:rPr>
                <w:iCs/>
                <w:color w:val="000000" w:themeColor="text1"/>
                <w:szCs w:val="20"/>
              </w:rPr>
            </w:pPr>
            <w:r w:rsidRPr="00CD3D9C">
              <w:rPr>
                <w:iCs/>
                <w:color w:val="000000" w:themeColor="text1"/>
                <w:szCs w:val="20"/>
              </w:rPr>
              <w:t xml:space="preserve">Social protection </w:t>
            </w:r>
          </w:p>
          <w:p w14:paraId="1CD61A32" w14:textId="128F92C7" w:rsidR="00E625AB" w:rsidRPr="00CD3D9C" w:rsidRDefault="00E625AB" w:rsidP="00E578F9">
            <w:pPr>
              <w:rPr>
                <w:color w:val="000000" w:themeColor="text1"/>
                <w:szCs w:val="20"/>
              </w:rPr>
            </w:pPr>
          </w:p>
        </w:tc>
        <w:tc>
          <w:tcPr>
            <w:tcW w:w="6397" w:type="dxa"/>
          </w:tcPr>
          <w:p w14:paraId="1FB7FC3D" w14:textId="3A3D7208" w:rsidR="00834906" w:rsidRPr="00CD3D9C" w:rsidRDefault="00BE0148" w:rsidP="00834906">
            <w:pPr>
              <w:rPr>
                <w:iCs/>
                <w:color w:val="000000" w:themeColor="text1"/>
                <w:szCs w:val="20"/>
              </w:rPr>
            </w:pPr>
            <w:r w:rsidRPr="00CD3D9C">
              <w:rPr>
                <w:iCs/>
                <w:color w:val="000000" w:themeColor="text1"/>
                <w:szCs w:val="20"/>
              </w:rPr>
              <w:t xml:space="preserve">Policy </w:t>
            </w:r>
            <w:r w:rsidR="0047691E" w:rsidRPr="00CD3D9C">
              <w:rPr>
                <w:iCs/>
                <w:color w:val="000000" w:themeColor="text1"/>
                <w:szCs w:val="20"/>
              </w:rPr>
              <w:t>Target 1.4: By 2023, at least 70% of the most eligible are benefitt</w:t>
            </w:r>
            <w:r w:rsidR="00A56291">
              <w:rPr>
                <w:iCs/>
                <w:color w:val="000000" w:themeColor="text1"/>
                <w:szCs w:val="20"/>
              </w:rPr>
              <w:t>ing</w:t>
            </w:r>
            <w:r w:rsidR="0047691E" w:rsidRPr="00CD3D9C">
              <w:rPr>
                <w:iCs/>
                <w:color w:val="000000" w:themeColor="text1"/>
                <w:szCs w:val="20"/>
              </w:rPr>
              <w:t xml:space="preserve"> from a harmonized social protection mechanism</w:t>
            </w:r>
            <w:r w:rsidR="00834906">
              <w:rPr>
                <w:iCs/>
                <w:color w:val="000000" w:themeColor="text1"/>
                <w:szCs w:val="20"/>
              </w:rPr>
              <w:t>.</w:t>
            </w:r>
          </w:p>
          <w:p w14:paraId="5CB7B6F8" w14:textId="6F2FDE99" w:rsidR="00BE0148" w:rsidRPr="00CD3D9C" w:rsidRDefault="00BE0148" w:rsidP="00E625AB">
            <w:pPr>
              <w:rPr>
                <w:iCs/>
                <w:color w:val="000000" w:themeColor="text1"/>
                <w:szCs w:val="20"/>
              </w:rPr>
            </w:pPr>
          </w:p>
        </w:tc>
        <w:tc>
          <w:tcPr>
            <w:tcW w:w="1421" w:type="dxa"/>
          </w:tcPr>
          <w:p w14:paraId="0EF33AE3" w14:textId="2C750FB5" w:rsidR="00E625AB" w:rsidRPr="00CD3D9C" w:rsidRDefault="00E625AB" w:rsidP="00E625AB">
            <w:pPr>
              <w:rPr>
                <w:iCs/>
                <w:color w:val="000000" w:themeColor="text1"/>
                <w:szCs w:val="20"/>
              </w:rPr>
            </w:pPr>
            <w:r w:rsidRPr="00CD3D9C">
              <w:rPr>
                <w:iCs/>
                <w:color w:val="000000" w:themeColor="text1"/>
                <w:szCs w:val="20"/>
              </w:rPr>
              <w:t>Output 1.2 and 2.2</w:t>
            </w:r>
          </w:p>
        </w:tc>
      </w:tr>
      <w:bookmarkEnd w:id="12"/>
    </w:tbl>
    <w:p w14:paraId="24BF7FF0" w14:textId="619BE411" w:rsidR="0081556D" w:rsidRPr="00CD3D9C" w:rsidRDefault="0081556D" w:rsidP="00AD1B24">
      <w:pPr>
        <w:rPr>
          <w:szCs w:val="20"/>
        </w:rPr>
      </w:pPr>
    </w:p>
    <w:p w14:paraId="2C431A3D" w14:textId="77777777" w:rsidR="00834906" w:rsidRDefault="00834906" w:rsidP="0047691E">
      <w:pPr>
        <w:rPr>
          <w:iCs/>
          <w:color w:val="000000" w:themeColor="text1"/>
          <w:szCs w:val="20"/>
        </w:rPr>
      </w:pPr>
    </w:p>
    <w:p w14:paraId="1883D2E8" w14:textId="59067B9E" w:rsidR="005308FF" w:rsidRPr="00CD3D9C" w:rsidRDefault="005308FF" w:rsidP="0047691E">
      <w:pPr>
        <w:rPr>
          <w:iCs/>
          <w:color w:val="000000" w:themeColor="text1"/>
          <w:szCs w:val="20"/>
        </w:rPr>
      </w:pPr>
      <w:r w:rsidRPr="00357710">
        <w:rPr>
          <w:iCs/>
          <w:color w:val="000000" w:themeColor="text1"/>
          <w:szCs w:val="20"/>
        </w:rPr>
        <w:t>Maldives is among the countries rolling out UNSDCF in 2020</w:t>
      </w:r>
      <w:r w:rsidR="00E275AF">
        <w:rPr>
          <w:iCs/>
          <w:color w:val="000000" w:themeColor="text1"/>
          <w:szCs w:val="20"/>
        </w:rPr>
        <w:t xml:space="preserve"> </w:t>
      </w:r>
      <w:r w:rsidR="00E275AF" w:rsidRPr="00F977D6">
        <w:rPr>
          <w:iCs/>
          <w:szCs w:val="20"/>
        </w:rPr>
        <w:t xml:space="preserve">(due to the COVID-19 crisis, UNSDCF rollout has been extended until end of 2021). </w:t>
      </w:r>
      <w:r w:rsidRPr="00F977D6">
        <w:rPr>
          <w:iCs/>
          <w:szCs w:val="20"/>
        </w:rPr>
        <w:t xml:space="preserve">The </w:t>
      </w:r>
      <w:r w:rsidR="0047691E" w:rsidRPr="00F977D6">
        <w:rPr>
          <w:iCs/>
          <w:szCs w:val="20"/>
        </w:rPr>
        <w:t xml:space="preserve">recently completed </w:t>
      </w:r>
      <w:r w:rsidRPr="00F977D6">
        <w:rPr>
          <w:iCs/>
          <w:szCs w:val="20"/>
        </w:rPr>
        <w:t xml:space="preserve">Common Country Analysis emphasizes </w:t>
      </w:r>
      <w:r w:rsidR="00A56291" w:rsidRPr="00F977D6">
        <w:rPr>
          <w:iCs/>
          <w:szCs w:val="20"/>
        </w:rPr>
        <w:t xml:space="preserve">the </w:t>
      </w:r>
      <w:r w:rsidRPr="00F977D6">
        <w:rPr>
          <w:iCs/>
          <w:szCs w:val="20"/>
        </w:rPr>
        <w:t>develop</w:t>
      </w:r>
      <w:r w:rsidR="00A56291" w:rsidRPr="00F977D6">
        <w:rPr>
          <w:iCs/>
          <w:szCs w:val="20"/>
        </w:rPr>
        <w:t>ment</w:t>
      </w:r>
      <w:r w:rsidRPr="00F977D6">
        <w:rPr>
          <w:iCs/>
          <w:szCs w:val="20"/>
        </w:rPr>
        <w:t xml:space="preserve"> and operationalizing </w:t>
      </w:r>
      <w:r w:rsidR="00A56291" w:rsidRPr="00357710">
        <w:rPr>
          <w:iCs/>
          <w:color w:val="000000" w:themeColor="text1"/>
          <w:szCs w:val="20"/>
        </w:rPr>
        <w:t xml:space="preserve">of </w:t>
      </w:r>
      <w:r w:rsidRPr="00357710">
        <w:rPr>
          <w:iCs/>
          <w:color w:val="000000" w:themeColor="text1"/>
          <w:szCs w:val="20"/>
        </w:rPr>
        <w:t>the necessary policies and frameworks that maximize the sustainable development potential of investments in the country</w:t>
      </w:r>
      <w:r w:rsidR="00A56291" w:rsidRPr="00357710">
        <w:rPr>
          <w:iCs/>
          <w:color w:val="000000" w:themeColor="text1"/>
          <w:szCs w:val="20"/>
        </w:rPr>
        <w:t>. This includes</w:t>
      </w:r>
      <w:r w:rsidRPr="00357710">
        <w:rPr>
          <w:iCs/>
          <w:color w:val="000000" w:themeColor="text1"/>
          <w:szCs w:val="20"/>
        </w:rPr>
        <w:t xml:space="preserve"> both foreign and domestic investments from the private sector a</w:t>
      </w:r>
      <w:r w:rsidR="00A56291" w:rsidRPr="00357710">
        <w:rPr>
          <w:iCs/>
          <w:color w:val="000000" w:themeColor="text1"/>
          <w:szCs w:val="20"/>
        </w:rPr>
        <w:t>s well as the</w:t>
      </w:r>
      <w:r w:rsidRPr="00357710">
        <w:rPr>
          <w:iCs/>
          <w:color w:val="000000" w:themeColor="text1"/>
          <w:szCs w:val="20"/>
        </w:rPr>
        <w:t xml:space="preserve"> creat</w:t>
      </w:r>
      <w:r w:rsidR="00A56291" w:rsidRPr="00357710">
        <w:rPr>
          <w:iCs/>
          <w:color w:val="000000" w:themeColor="text1"/>
          <w:szCs w:val="20"/>
        </w:rPr>
        <w:t>ion</w:t>
      </w:r>
      <w:r w:rsidRPr="00357710">
        <w:rPr>
          <w:iCs/>
          <w:color w:val="000000" w:themeColor="text1"/>
          <w:szCs w:val="20"/>
        </w:rPr>
        <w:t xml:space="preserve"> </w:t>
      </w:r>
      <w:r w:rsidR="00A56291" w:rsidRPr="00357710">
        <w:rPr>
          <w:iCs/>
          <w:color w:val="000000" w:themeColor="text1"/>
          <w:szCs w:val="20"/>
        </w:rPr>
        <w:t xml:space="preserve">of </w:t>
      </w:r>
      <w:r w:rsidRPr="00357710">
        <w:rPr>
          <w:iCs/>
          <w:color w:val="000000" w:themeColor="text1"/>
          <w:szCs w:val="20"/>
        </w:rPr>
        <w:t xml:space="preserve">a multi-stakeholder partnership to facilitate investment efforts. Once the new UNSDCF is developed, </w:t>
      </w:r>
      <w:r w:rsidR="00476508" w:rsidRPr="00357710">
        <w:rPr>
          <w:iCs/>
          <w:color w:val="000000" w:themeColor="text1"/>
          <w:szCs w:val="20"/>
        </w:rPr>
        <w:t>clear linkages to the JP will be established. The current UNDAF 2016-2020 has a range of priorities relevant to the thematic focus of the JP on climate action and social service delivery.</w:t>
      </w:r>
      <w:r w:rsidR="00476508" w:rsidRPr="00CD3D9C">
        <w:rPr>
          <w:iCs/>
          <w:color w:val="000000" w:themeColor="text1"/>
          <w:szCs w:val="20"/>
        </w:rPr>
        <w:t xml:space="preserve"> </w:t>
      </w:r>
    </w:p>
    <w:p w14:paraId="143ED325" w14:textId="77777777" w:rsidR="005308FF" w:rsidRPr="00CD3D9C" w:rsidRDefault="005308FF" w:rsidP="0047691E">
      <w:pPr>
        <w:rPr>
          <w:iCs/>
          <w:color w:val="000000" w:themeColor="text1"/>
          <w:szCs w:val="20"/>
        </w:rPr>
      </w:pPr>
    </w:p>
    <w:p w14:paraId="43D2BF38" w14:textId="66828F71" w:rsidR="00916FFC" w:rsidRPr="00CD3D9C" w:rsidRDefault="0AC17439" w:rsidP="00EC682C">
      <w:r>
        <w:t xml:space="preserve">The project will be steered through the INFF </w:t>
      </w:r>
      <w:r w:rsidR="2F50DFC1">
        <w:t>Oversight Committee that will be set up under the JP</w:t>
      </w:r>
      <w:r w:rsidR="12D63268">
        <w:t>,</w:t>
      </w:r>
      <w:r w:rsidR="2F50DFC1">
        <w:t xml:space="preserve"> building on the </w:t>
      </w:r>
      <w:r w:rsidR="27AF7ABD">
        <w:t xml:space="preserve">role and composition of the </w:t>
      </w:r>
      <w:r w:rsidR="2F50DFC1">
        <w:t>existing DFA/INFF oversight team.</w:t>
      </w:r>
      <w:r>
        <w:t xml:space="preserve"> The Chair and Co-Chair of the </w:t>
      </w:r>
      <w:r w:rsidR="0B63E00B">
        <w:t xml:space="preserve">existing DFA/INFF </w:t>
      </w:r>
      <w:r>
        <w:t xml:space="preserve">oversight </w:t>
      </w:r>
      <w:r w:rsidR="2F50DFC1">
        <w:t>team</w:t>
      </w:r>
      <w:r>
        <w:t xml:space="preserve"> has been extensively engaged in the development of this joint programme proposal which </w:t>
      </w:r>
      <w:r w:rsidR="24902317">
        <w:t>is expected to</w:t>
      </w:r>
      <w:r>
        <w:t xml:space="preserve"> build the government’s ownership of the proposed </w:t>
      </w:r>
      <w:r w:rsidR="609CD7C4">
        <w:t xml:space="preserve">project </w:t>
      </w:r>
      <w:r>
        <w:t>interventions</w:t>
      </w:r>
      <w:r w:rsidR="609CD7C4">
        <w:t xml:space="preserve">. The </w:t>
      </w:r>
      <w:r w:rsidR="4E30D999">
        <w:t>JP</w:t>
      </w:r>
      <w:r w:rsidR="609CD7C4">
        <w:t xml:space="preserve"> is designed to sustain the government’s commitment to the INFF through interventions that support further development of the institutional structure and coordination mechanism of the </w:t>
      </w:r>
      <w:r w:rsidR="2F50DFC1">
        <w:t>INFF Oversight Committee</w:t>
      </w:r>
      <w:r w:rsidR="3185B7BA">
        <w:t>,</w:t>
      </w:r>
      <w:r w:rsidR="2F50DFC1">
        <w:t xml:space="preserve"> </w:t>
      </w:r>
      <w:r w:rsidR="609CD7C4">
        <w:t xml:space="preserve">bringing the current fragmented functions on public finance, aid coordination, climate finance and investment promotion into a single coordination platform. </w:t>
      </w:r>
      <w:r w:rsidR="01EA9F9D">
        <w:t>It is hoped that these reforms can be advocated and reflected in proposed legislation</w:t>
      </w:r>
      <w:r w:rsidR="3185B7BA">
        <w:t>,</w:t>
      </w:r>
      <w:r w:rsidR="01EA9F9D">
        <w:t xml:space="preserve"> </w:t>
      </w:r>
      <w:r w:rsidR="3185B7BA">
        <w:t xml:space="preserve">including </w:t>
      </w:r>
      <w:r w:rsidR="01EA9F9D">
        <w:t xml:space="preserve">the national planning act, the climate change bill and the proposed amendments to the public finance act. </w:t>
      </w:r>
    </w:p>
    <w:p w14:paraId="6FDC6C5E" w14:textId="77777777" w:rsidR="00916FFC" w:rsidRPr="00CD3D9C" w:rsidRDefault="00916FFC" w:rsidP="00EC682C">
      <w:pPr>
        <w:rPr>
          <w:szCs w:val="20"/>
        </w:rPr>
      </w:pPr>
    </w:p>
    <w:p w14:paraId="6F3F55AF" w14:textId="31DDF9A7" w:rsidR="00F752CF" w:rsidRPr="00CD3D9C" w:rsidRDefault="00916FFC" w:rsidP="00EC682C">
      <w:pPr>
        <w:rPr>
          <w:szCs w:val="20"/>
        </w:rPr>
      </w:pPr>
      <w:r w:rsidRPr="00CD3D9C">
        <w:rPr>
          <w:szCs w:val="20"/>
        </w:rPr>
        <w:t xml:space="preserve">Capacity building is integral to all proposed interventions of the JP. The JP has targeted capacity building interventions to the </w:t>
      </w:r>
      <w:r w:rsidR="00D16BCD" w:rsidRPr="00CD3D9C">
        <w:rPr>
          <w:szCs w:val="20"/>
        </w:rPr>
        <w:t>INFF Oversight Committee</w:t>
      </w:r>
      <w:r w:rsidR="00FF60BF">
        <w:rPr>
          <w:szCs w:val="20"/>
        </w:rPr>
        <w:t>,</w:t>
      </w:r>
      <w:r w:rsidR="00D16BCD" w:rsidRPr="00CD3D9C">
        <w:rPr>
          <w:szCs w:val="20"/>
        </w:rPr>
        <w:t xml:space="preserve"> </w:t>
      </w:r>
      <w:r w:rsidRPr="00CD3D9C">
        <w:rPr>
          <w:szCs w:val="20"/>
        </w:rPr>
        <w:t xml:space="preserve">and </w:t>
      </w:r>
      <w:r w:rsidR="00D16BCD" w:rsidRPr="00CD3D9C">
        <w:rPr>
          <w:szCs w:val="20"/>
        </w:rPr>
        <w:t xml:space="preserve">to </w:t>
      </w:r>
      <w:r w:rsidR="00D71598" w:rsidRPr="00CD3D9C">
        <w:rPr>
          <w:szCs w:val="20"/>
        </w:rPr>
        <w:t xml:space="preserve">existing </w:t>
      </w:r>
      <w:r w:rsidR="00D16BCD" w:rsidRPr="00CD3D9C">
        <w:rPr>
          <w:szCs w:val="20"/>
        </w:rPr>
        <w:t>business council, trade facilitation committee</w:t>
      </w:r>
      <w:r w:rsidR="00FF60BF">
        <w:rPr>
          <w:szCs w:val="20"/>
        </w:rPr>
        <w:t>,</w:t>
      </w:r>
      <w:r w:rsidR="00D16BCD" w:rsidRPr="00CD3D9C">
        <w:rPr>
          <w:szCs w:val="20"/>
        </w:rPr>
        <w:t xml:space="preserve"> and the PPP steering committee</w:t>
      </w:r>
      <w:r w:rsidR="00FF60BF">
        <w:rPr>
          <w:szCs w:val="20"/>
        </w:rPr>
        <w:t>,</w:t>
      </w:r>
      <w:r w:rsidR="00D16BCD" w:rsidRPr="00CD3D9C">
        <w:rPr>
          <w:szCs w:val="20"/>
        </w:rPr>
        <w:t xml:space="preserve"> in order</w:t>
      </w:r>
      <w:r w:rsidR="00D71598" w:rsidRPr="00CD3D9C">
        <w:rPr>
          <w:szCs w:val="20"/>
        </w:rPr>
        <w:t xml:space="preserve"> to build the capacity of these bodies to prioritize investments in SDGs. </w:t>
      </w:r>
      <w:r w:rsidRPr="00CD3D9C">
        <w:rPr>
          <w:szCs w:val="20"/>
        </w:rPr>
        <w:t xml:space="preserve">Further, the proposed costing exercises </w:t>
      </w:r>
      <w:r w:rsidR="00F752CF" w:rsidRPr="00CD3D9C">
        <w:rPr>
          <w:szCs w:val="20"/>
        </w:rPr>
        <w:t xml:space="preserve">will utilize methodologies that allow for easy transfer of skills to Government officials to undertake </w:t>
      </w:r>
      <w:r w:rsidR="00AF47D8">
        <w:rPr>
          <w:szCs w:val="20"/>
        </w:rPr>
        <w:t>periodic</w:t>
      </w:r>
      <w:r w:rsidR="00F752CF" w:rsidRPr="00CD3D9C">
        <w:rPr>
          <w:szCs w:val="20"/>
        </w:rPr>
        <w:t xml:space="preserve"> costing in the future. The costing exercises and the development of the</w:t>
      </w:r>
      <w:r w:rsidR="002829E0">
        <w:rPr>
          <w:szCs w:val="20"/>
        </w:rPr>
        <w:t xml:space="preserve"> </w:t>
      </w:r>
      <w:r w:rsidR="002829E0" w:rsidRPr="00CD3D9C">
        <w:rPr>
          <w:szCs w:val="20"/>
        </w:rPr>
        <w:t>Nationa</w:t>
      </w:r>
      <w:r w:rsidR="002829E0">
        <w:rPr>
          <w:szCs w:val="20"/>
        </w:rPr>
        <w:t>l</w:t>
      </w:r>
      <w:r w:rsidR="00F752CF" w:rsidRPr="00CD3D9C">
        <w:rPr>
          <w:szCs w:val="20"/>
        </w:rPr>
        <w:t xml:space="preserve"> Integrated Financing Strategy will include a human capital development plan that mobilizes resources for skill development in social service provision. </w:t>
      </w:r>
    </w:p>
    <w:p w14:paraId="2A319D8C" w14:textId="00C5BF27" w:rsidR="00D76AD8" w:rsidRPr="00CD3D9C" w:rsidRDefault="00D76AD8" w:rsidP="00EC682C">
      <w:pPr>
        <w:rPr>
          <w:szCs w:val="20"/>
        </w:rPr>
      </w:pPr>
    </w:p>
    <w:p w14:paraId="2B5213FB" w14:textId="378E901F" w:rsidR="006C0DD7" w:rsidRPr="00CD3D9C" w:rsidRDefault="002D4E67" w:rsidP="00EC682C">
      <w:pPr>
        <w:rPr>
          <w:szCs w:val="20"/>
        </w:rPr>
      </w:pPr>
      <w:bookmarkStart w:id="13" w:name="_Hlk36293784"/>
      <w:r w:rsidRPr="00CD3D9C">
        <w:rPr>
          <w:szCs w:val="20"/>
        </w:rPr>
        <w:t xml:space="preserve">At the end of the </w:t>
      </w:r>
      <w:r w:rsidR="003D749E" w:rsidRPr="00CD3D9C">
        <w:rPr>
          <w:szCs w:val="20"/>
        </w:rPr>
        <w:t>JP</w:t>
      </w:r>
      <w:r w:rsidRPr="00CD3D9C">
        <w:rPr>
          <w:szCs w:val="20"/>
        </w:rPr>
        <w:t xml:space="preserve">, the government is expected to be well equipped </w:t>
      </w:r>
      <w:r w:rsidR="00F51552" w:rsidRPr="00CD3D9C">
        <w:rPr>
          <w:szCs w:val="20"/>
        </w:rPr>
        <w:t>to have cross-government coordination with greater coherence across public and private financing policies and their alignment with sustainable development priorities.</w:t>
      </w:r>
      <w:r w:rsidRPr="00CD3D9C">
        <w:rPr>
          <w:szCs w:val="20"/>
        </w:rPr>
        <w:t xml:space="preserve"> </w:t>
      </w:r>
      <w:r w:rsidR="00F51552" w:rsidRPr="00CD3D9C">
        <w:rPr>
          <w:szCs w:val="20"/>
        </w:rPr>
        <w:t>It is expected that the financing strategy</w:t>
      </w:r>
      <w:r w:rsidR="006C0DD7" w:rsidRPr="00CD3D9C">
        <w:rPr>
          <w:szCs w:val="20"/>
        </w:rPr>
        <w:t xml:space="preserve"> prioritiz</w:t>
      </w:r>
      <w:r w:rsidR="00F51552" w:rsidRPr="00CD3D9C">
        <w:rPr>
          <w:szCs w:val="20"/>
        </w:rPr>
        <w:t>es</w:t>
      </w:r>
      <w:r w:rsidR="006C0DD7" w:rsidRPr="00CD3D9C">
        <w:rPr>
          <w:szCs w:val="20"/>
        </w:rPr>
        <w:t xml:space="preserve"> the long-term investments needed in the area of </w:t>
      </w:r>
      <w:r w:rsidR="00F51552" w:rsidRPr="00CD3D9C">
        <w:rPr>
          <w:szCs w:val="20"/>
        </w:rPr>
        <w:t xml:space="preserve">building </w:t>
      </w:r>
      <w:r w:rsidR="006C0DD7" w:rsidRPr="00CD3D9C">
        <w:rPr>
          <w:szCs w:val="20"/>
        </w:rPr>
        <w:t xml:space="preserve">climate </w:t>
      </w:r>
      <w:r w:rsidR="00AD1B24" w:rsidRPr="00CD3D9C">
        <w:rPr>
          <w:szCs w:val="20"/>
        </w:rPr>
        <w:t>resilience</w:t>
      </w:r>
      <w:r w:rsidR="006C0DD7" w:rsidRPr="00CD3D9C">
        <w:rPr>
          <w:szCs w:val="20"/>
        </w:rPr>
        <w:t xml:space="preserve"> and </w:t>
      </w:r>
      <w:r w:rsidR="003D749E" w:rsidRPr="00CD3D9C">
        <w:rPr>
          <w:szCs w:val="20"/>
        </w:rPr>
        <w:t>equity</w:t>
      </w:r>
      <w:r w:rsidR="00FF60BF">
        <w:rPr>
          <w:szCs w:val="20"/>
        </w:rPr>
        <w:t>-</w:t>
      </w:r>
      <w:r w:rsidR="003D749E" w:rsidRPr="00CD3D9C">
        <w:rPr>
          <w:szCs w:val="20"/>
        </w:rPr>
        <w:t>focused social service delivery</w:t>
      </w:r>
      <w:r w:rsidR="00FF60BF">
        <w:rPr>
          <w:szCs w:val="20"/>
        </w:rPr>
        <w:t>,</w:t>
      </w:r>
      <w:r w:rsidR="00F51552" w:rsidRPr="00CD3D9C">
        <w:rPr>
          <w:szCs w:val="20"/>
        </w:rPr>
        <w:t xml:space="preserve"> </w:t>
      </w:r>
      <w:r w:rsidR="00024A89" w:rsidRPr="00CD3D9C">
        <w:rPr>
          <w:szCs w:val="20"/>
        </w:rPr>
        <w:t>targeting quality delivery for</w:t>
      </w:r>
      <w:r w:rsidR="00F51552" w:rsidRPr="00CD3D9C">
        <w:rPr>
          <w:szCs w:val="20"/>
        </w:rPr>
        <w:t xml:space="preserve"> vulnerable groups</w:t>
      </w:r>
      <w:r w:rsidR="00024A89" w:rsidRPr="00CD3D9C">
        <w:rPr>
          <w:szCs w:val="20"/>
        </w:rPr>
        <w:t xml:space="preserve"> </w:t>
      </w:r>
      <w:r w:rsidR="00024A89" w:rsidRPr="008F6500">
        <w:t>including women</w:t>
      </w:r>
      <w:r w:rsidR="00024A89" w:rsidRPr="00FB4EF5">
        <w:rPr>
          <w:szCs w:val="20"/>
        </w:rPr>
        <w:t>, unemployed</w:t>
      </w:r>
      <w:r w:rsidR="00024A89" w:rsidRPr="00CD3D9C">
        <w:rPr>
          <w:szCs w:val="20"/>
        </w:rPr>
        <w:t xml:space="preserve"> and at-risk youth, elderly,</w:t>
      </w:r>
      <w:r w:rsidR="00024A89" w:rsidRPr="00F977D6">
        <w:rPr>
          <w:szCs w:val="20"/>
        </w:rPr>
        <w:t xml:space="preserve"> </w:t>
      </w:r>
      <w:r w:rsidR="00E275AF" w:rsidRPr="00F977D6">
        <w:rPr>
          <w:szCs w:val="20"/>
        </w:rPr>
        <w:t xml:space="preserve">persons with </w:t>
      </w:r>
      <w:r w:rsidR="00E275AF" w:rsidRPr="00F977D6">
        <w:rPr>
          <w:szCs w:val="20"/>
        </w:rPr>
        <w:lastRenderedPageBreak/>
        <w:t xml:space="preserve">disability, </w:t>
      </w:r>
      <w:r w:rsidR="00024A89" w:rsidRPr="00CD3D9C">
        <w:rPr>
          <w:szCs w:val="20"/>
        </w:rPr>
        <w:t>children, migrant population and those living in remote islands with high exposure to climate induced disasters.</w:t>
      </w:r>
      <w:r w:rsidRPr="00CD3D9C">
        <w:rPr>
          <w:szCs w:val="20"/>
        </w:rPr>
        <w:t xml:space="preserve"> </w:t>
      </w:r>
    </w:p>
    <w:p w14:paraId="3FCD3D26" w14:textId="3FAFB40B" w:rsidR="006C0DD7" w:rsidRPr="00CD3D9C" w:rsidRDefault="006C0DD7" w:rsidP="00EC682C">
      <w:pPr>
        <w:rPr>
          <w:szCs w:val="20"/>
        </w:rPr>
      </w:pPr>
    </w:p>
    <w:p w14:paraId="55178A40" w14:textId="128E3AC0" w:rsidR="006C0DD7" w:rsidRPr="00CD3D9C" w:rsidRDefault="006C0DD7" w:rsidP="00EC682C">
      <w:pPr>
        <w:rPr>
          <w:szCs w:val="20"/>
        </w:rPr>
      </w:pPr>
      <w:r w:rsidRPr="00CD3D9C">
        <w:rPr>
          <w:szCs w:val="20"/>
        </w:rPr>
        <w:t xml:space="preserve">It is also expected that the project will unlock more financing for climate action and social </w:t>
      </w:r>
      <w:r w:rsidR="003D749E" w:rsidRPr="00CD3D9C">
        <w:rPr>
          <w:szCs w:val="20"/>
        </w:rPr>
        <w:t>service delivery</w:t>
      </w:r>
      <w:r w:rsidRPr="00CD3D9C">
        <w:rPr>
          <w:szCs w:val="20"/>
        </w:rPr>
        <w:t xml:space="preserve"> through improved alignment of national budgets</w:t>
      </w:r>
      <w:r w:rsidR="0047691E" w:rsidRPr="00CD3D9C">
        <w:rPr>
          <w:szCs w:val="20"/>
        </w:rPr>
        <w:t xml:space="preserve">, </w:t>
      </w:r>
      <w:r w:rsidRPr="00CD3D9C">
        <w:rPr>
          <w:szCs w:val="20"/>
        </w:rPr>
        <w:t>greater optimization and efficiency in delivery of national budgets and through engagement with non-traditional development partners and private sector partners.</w:t>
      </w:r>
    </w:p>
    <w:bookmarkEnd w:id="13"/>
    <w:p w14:paraId="7806DDB5" w14:textId="77777777" w:rsidR="002C2DDE" w:rsidRPr="00CD3D9C" w:rsidRDefault="002C2DDE" w:rsidP="00EC682C">
      <w:pPr>
        <w:rPr>
          <w:iCs/>
          <w:color w:val="C45911" w:themeColor="accent2" w:themeShade="BF"/>
          <w:szCs w:val="20"/>
        </w:rPr>
      </w:pPr>
    </w:p>
    <w:p w14:paraId="3C663796" w14:textId="6F0CD84F" w:rsidR="009F2F8D" w:rsidRPr="00CD3D9C" w:rsidRDefault="00A81385" w:rsidP="0081556D">
      <w:pPr>
        <w:jc w:val="both"/>
        <w:rPr>
          <w:b/>
          <w:bCs/>
          <w:color w:val="000000" w:themeColor="text1"/>
          <w:szCs w:val="20"/>
        </w:rPr>
      </w:pPr>
      <w:r w:rsidRPr="00CD3D9C">
        <w:rPr>
          <w:b/>
          <w:bCs/>
          <w:color w:val="000000" w:themeColor="text1"/>
          <w:szCs w:val="20"/>
        </w:rPr>
        <w:t>2</w:t>
      </w:r>
      <w:r w:rsidR="0057528B" w:rsidRPr="00CD3D9C">
        <w:rPr>
          <w:b/>
          <w:bCs/>
          <w:color w:val="000000" w:themeColor="text1"/>
          <w:szCs w:val="20"/>
        </w:rPr>
        <w:t>.</w:t>
      </w:r>
      <w:r w:rsidR="00E37CB4" w:rsidRPr="00CD3D9C">
        <w:rPr>
          <w:b/>
          <w:bCs/>
          <w:color w:val="000000" w:themeColor="text1"/>
          <w:szCs w:val="20"/>
        </w:rPr>
        <w:t>2</w:t>
      </w:r>
      <w:r w:rsidR="0057528B" w:rsidRPr="00CD3D9C">
        <w:rPr>
          <w:b/>
          <w:bCs/>
          <w:color w:val="000000" w:themeColor="text1"/>
          <w:szCs w:val="20"/>
        </w:rPr>
        <w:t xml:space="preserve"> Theory of Chang</w:t>
      </w:r>
      <w:r w:rsidR="00046162" w:rsidRPr="00CD3D9C">
        <w:rPr>
          <w:b/>
          <w:bCs/>
          <w:color w:val="000000" w:themeColor="text1"/>
          <w:szCs w:val="20"/>
        </w:rPr>
        <w:t>e</w:t>
      </w:r>
      <w:r w:rsidR="00C851FC" w:rsidRPr="00CD3D9C">
        <w:rPr>
          <w:b/>
          <w:bCs/>
          <w:color w:val="000000" w:themeColor="text1"/>
          <w:szCs w:val="20"/>
        </w:rPr>
        <w:t xml:space="preserve"> </w:t>
      </w:r>
    </w:p>
    <w:p w14:paraId="583526AF" w14:textId="77777777" w:rsidR="0093195D" w:rsidRPr="00CD3D9C" w:rsidRDefault="0093195D" w:rsidP="0081556D">
      <w:pPr>
        <w:jc w:val="both"/>
        <w:rPr>
          <w:i/>
          <w:color w:val="C45911" w:themeColor="accent2" w:themeShade="BF"/>
          <w:szCs w:val="20"/>
        </w:rPr>
      </w:pPr>
    </w:p>
    <w:p w14:paraId="175E4AF9" w14:textId="49A3FF71" w:rsidR="00222132" w:rsidRPr="00C107A4" w:rsidRDefault="0098282F" w:rsidP="0081556D">
      <w:pPr>
        <w:jc w:val="both"/>
        <w:rPr>
          <w:i/>
          <w:szCs w:val="20"/>
        </w:rPr>
      </w:pPr>
      <w:r w:rsidRPr="00C107A4">
        <w:rPr>
          <w:i/>
          <w:szCs w:val="20"/>
        </w:rPr>
        <w:t xml:space="preserve">a) Summary </w:t>
      </w:r>
    </w:p>
    <w:p w14:paraId="7701B8FE" w14:textId="77777777" w:rsidR="00C107A4" w:rsidRDefault="00C107A4" w:rsidP="00630172">
      <w:pPr>
        <w:jc w:val="both"/>
        <w:rPr>
          <w:szCs w:val="20"/>
        </w:rPr>
      </w:pPr>
    </w:p>
    <w:p w14:paraId="140BF024" w14:textId="2A46BE5D" w:rsidR="006B30ED" w:rsidRPr="00CD3D9C" w:rsidRDefault="004F560C" w:rsidP="00EC682C">
      <w:pPr>
        <w:rPr>
          <w:szCs w:val="20"/>
        </w:rPr>
      </w:pPr>
      <w:r w:rsidRPr="00CD3D9C">
        <w:rPr>
          <w:szCs w:val="20"/>
        </w:rPr>
        <w:t>The theory of change is centered on putting into effect a successful INFF process in the Maldives. The process seeks to (a) strengthen the core system of governance planning and financing and (b) to mobilise and improve the targeting of financing towards two long term development priorities. The two development priorities are (i) climate action and (ii) reforms required to deliver quality</w:t>
      </w:r>
      <w:r w:rsidR="000022A2" w:rsidRPr="00CD3D9C">
        <w:rPr>
          <w:szCs w:val="20"/>
        </w:rPr>
        <w:t>,</w:t>
      </w:r>
      <w:r w:rsidRPr="00CD3D9C">
        <w:rPr>
          <w:szCs w:val="20"/>
        </w:rPr>
        <w:t xml:space="preserve"> equitable</w:t>
      </w:r>
      <w:r w:rsidR="00630172" w:rsidRPr="00FB4EF5">
        <w:rPr>
          <w:szCs w:val="20"/>
        </w:rPr>
        <w:t xml:space="preserve">, </w:t>
      </w:r>
      <w:r w:rsidR="00630172" w:rsidRPr="008F6500">
        <w:t>gender responsive</w:t>
      </w:r>
      <w:r w:rsidR="000022A2" w:rsidRPr="00FB4EF5">
        <w:rPr>
          <w:szCs w:val="20"/>
        </w:rPr>
        <w:t xml:space="preserve"> and</w:t>
      </w:r>
      <w:r w:rsidR="000022A2" w:rsidRPr="00CD3D9C">
        <w:rPr>
          <w:szCs w:val="20"/>
        </w:rPr>
        <w:t xml:space="preserve"> sustainable</w:t>
      </w:r>
      <w:r w:rsidRPr="00CD3D9C">
        <w:rPr>
          <w:szCs w:val="20"/>
        </w:rPr>
        <w:t xml:space="preserve"> social services</w:t>
      </w:r>
      <w:r w:rsidR="00630172" w:rsidRPr="00CD3D9C">
        <w:rPr>
          <w:szCs w:val="20"/>
        </w:rPr>
        <w:t>.</w:t>
      </w:r>
    </w:p>
    <w:p w14:paraId="40B14048" w14:textId="77777777" w:rsidR="006B30ED" w:rsidRPr="00CD3D9C" w:rsidRDefault="006B30ED" w:rsidP="00EC682C">
      <w:pPr>
        <w:rPr>
          <w:szCs w:val="20"/>
        </w:rPr>
      </w:pPr>
    </w:p>
    <w:p w14:paraId="3917DCCD" w14:textId="3483EB02" w:rsidR="00F05C0B" w:rsidRPr="00CD3D9C" w:rsidRDefault="00F05C0B" w:rsidP="00EC682C">
      <w:pPr>
        <w:rPr>
          <w:szCs w:val="20"/>
        </w:rPr>
      </w:pPr>
      <w:r w:rsidRPr="00CD3D9C">
        <w:rPr>
          <w:szCs w:val="20"/>
        </w:rPr>
        <w:t xml:space="preserve">The overall goal is that the population benefits from increased climate resilience and </w:t>
      </w:r>
      <w:r w:rsidR="00C40D03" w:rsidRPr="00CD3D9C">
        <w:rPr>
          <w:szCs w:val="20"/>
        </w:rPr>
        <w:t xml:space="preserve">quality </w:t>
      </w:r>
      <w:r w:rsidR="00476508" w:rsidRPr="00CD3D9C">
        <w:rPr>
          <w:szCs w:val="20"/>
        </w:rPr>
        <w:t xml:space="preserve">and equitable </w:t>
      </w:r>
      <w:r w:rsidR="006D54CA" w:rsidRPr="00CD3D9C">
        <w:rPr>
          <w:szCs w:val="20"/>
        </w:rPr>
        <w:t xml:space="preserve">social </w:t>
      </w:r>
      <w:r w:rsidR="00C40D03" w:rsidRPr="00CD3D9C">
        <w:rPr>
          <w:szCs w:val="20"/>
        </w:rPr>
        <w:t>s</w:t>
      </w:r>
      <w:r w:rsidR="008F5D73" w:rsidRPr="00CD3D9C">
        <w:rPr>
          <w:szCs w:val="20"/>
        </w:rPr>
        <w:t>ervices</w:t>
      </w:r>
      <w:r w:rsidR="00476508" w:rsidRPr="00CD3D9C">
        <w:rPr>
          <w:szCs w:val="20"/>
        </w:rPr>
        <w:t>.</w:t>
      </w:r>
      <w:r w:rsidR="008F5D73" w:rsidRPr="00CD3D9C">
        <w:rPr>
          <w:szCs w:val="20"/>
        </w:rPr>
        <w:t xml:space="preserve"> The JP aim</w:t>
      </w:r>
      <w:r w:rsidR="003B6016" w:rsidRPr="00CD3D9C">
        <w:rPr>
          <w:szCs w:val="20"/>
        </w:rPr>
        <w:t>s</w:t>
      </w:r>
      <w:r w:rsidR="008F5D73" w:rsidRPr="00CD3D9C">
        <w:rPr>
          <w:szCs w:val="20"/>
        </w:rPr>
        <w:t xml:space="preserve"> to </w:t>
      </w:r>
      <w:r w:rsidR="002829E0">
        <w:rPr>
          <w:szCs w:val="20"/>
        </w:rPr>
        <w:t xml:space="preserve">contribute to </w:t>
      </w:r>
      <w:r w:rsidR="008F5D73" w:rsidRPr="00CD3D9C">
        <w:rPr>
          <w:szCs w:val="20"/>
        </w:rPr>
        <w:t xml:space="preserve">SDG targets relevant to </w:t>
      </w:r>
      <w:bookmarkStart w:id="14" w:name="_Hlk35776785"/>
      <w:r w:rsidR="008F5D73" w:rsidRPr="00CD3D9C">
        <w:rPr>
          <w:szCs w:val="20"/>
        </w:rPr>
        <w:t xml:space="preserve">climate action (Goal 2, 6, 7, 11, 14, 15) and social services (Goal </w:t>
      </w:r>
      <w:r w:rsidR="009B54DB">
        <w:rPr>
          <w:szCs w:val="20"/>
        </w:rPr>
        <w:t xml:space="preserve">1, </w:t>
      </w:r>
      <w:r w:rsidR="008F5D73" w:rsidRPr="00CD3D9C">
        <w:rPr>
          <w:szCs w:val="20"/>
        </w:rPr>
        <w:t>2, 3, 4, 5, 7, 10).</w:t>
      </w:r>
      <w:r w:rsidRPr="00CD3D9C">
        <w:rPr>
          <w:szCs w:val="20"/>
        </w:rPr>
        <w:t xml:space="preserve"> </w:t>
      </w:r>
      <w:bookmarkEnd w:id="14"/>
      <w:r w:rsidRPr="00CD3D9C">
        <w:rPr>
          <w:szCs w:val="20"/>
        </w:rPr>
        <w:t xml:space="preserve">To achieve the goal, two outcome pathways are evident: </w:t>
      </w:r>
    </w:p>
    <w:p w14:paraId="3773D3B1" w14:textId="287637E2" w:rsidR="00F05C0B" w:rsidRPr="00CD3D9C" w:rsidRDefault="00F05C0B" w:rsidP="00EC682C">
      <w:pPr>
        <w:pStyle w:val="ListParagraph"/>
        <w:numPr>
          <w:ilvl w:val="0"/>
          <w:numId w:val="39"/>
        </w:numPr>
        <w:rPr>
          <w:szCs w:val="20"/>
        </w:rPr>
      </w:pPr>
      <w:r w:rsidRPr="00CD3D9C">
        <w:rPr>
          <w:szCs w:val="20"/>
        </w:rPr>
        <w:t>The first outcome pathway is to have more financing available through mobilization of a broad</w:t>
      </w:r>
      <w:r w:rsidR="006B30ED" w:rsidRPr="00CD3D9C">
        <w:rPr>
          <w:szCs w:val="20"/>
        </w:rPr>
        <w:t>ened/diversified financing</w:t>
      </w:r>
      <w:r w:rsidRPr="00CD3D9C">
        <w:rPr>
          <w:szCs w:val="20"/>
        </w:rPr>
        <w:t xml:space="preserve"> base (</w:t>
      </w:r>
      <w:r w:rsidR="006B30ED" w:rsidRPr="00CD3D9C">
        <w:rPr>
          <w:szCs w:val="20"/>
        </w:rPr>
        <w:t>inclusive of</w:t>
      </w:r>
      <w:r w:rsidRPr="00CD3D9C">
        <w:rPr>
          <w:szCs w:val="20"/>
        </w:rPr>
        <w:t xml:space="preserve"> private sector</w:t>
      </w:r>
      <w:r w:rsidR="006B30ED" w:rsidRPr="00CD3D9C">
        <w:rPr>
          <w:szCs w:val="20"/>
        </w:rPr>
        <w:t xml:space="preserve"> actors</w:t>
      </w:r>
      <w:r w:rsidRPr="00CD3D9C">
        <w:rPr>
          <w:szCs w:val="20"/>
        </w:rPr>
        <w:t>, non-traditional donors) and by unlocking fiscal space through improving efficiency of public sector spending</w:t>
      </w:r>
      <w:r w:rsidR="002432F6">
        <w:rPr>
          <w:szCs w:val="20"/>
        </w:rPr>
        <w:t xml:space="preserve"> for improving </w:t>
      </w:r>
      <w:r w:rsidR="004E3142">
        <w:rPr>
          <w:szCs w:val="20"/>
        </w:rPr>
        <w:t xml:space="preserve">wellbeing </w:t>
      </w:r>
      <w:r w:rsidR="002432F6">
        <w:rPr>
          <w:szCs w:val="20"/>
        </w:rPr>
        <w:t>outcomes for women</w:t>
      </w:r>
      <w:r w:rsidR="001609A2">
        <w:rPr>
          <w:szCs w:val="20"/>
        </w:rPr>
        <w:t xml:space="preserve"> and men</w:t>
      </w:r>
      <w:r w:rsidRPr="00CD3D9C">
        <w:rPr>
          <w:szCs w:val="20"/>
        </w:rPr>
        <w:t xml:space="preserve">. This is achieved through an integrated financing strategy that is based on reliable </w:t>
      </w:r>
      <w:r w:rsidR="006B30ED" w:rsidRPr="00CD3D9C">
        <w:rPr>
          <w:szCs w:val="20"/>
        </w:rPr>
        <w:t xml:space="preserve">financing </w:t>
      </w:r>
      <w:r w:rsidRPr="00CD3D9C">
        <w:rPr>
          <w:szCs w:val="20"/>
        </w:rPr>
        <w:t>estimates</w:t>
      </w:r>
      <w:r w:rsidR="00CE01DB">
        <w:rPr>
          <w:szCs w:val="20"/>
        </w:rPr>
        <w:t xml:space="preserve"> taking into account the impact of the</w:t>
      </w:r>
      <w:r w:rsidR="002829E0">
        <w:rPr>
          <w:szCs w:val="20"/>
        </w:rPr>
        <w:t xml:space="preserve"> ongiong</w:t>
      </w:r>
      <w:r w:rsidR="00CE01DB">
        <w:rPr>
          <w:szCs w:val="20"/>
        </w:rPr>
        <w:t xml:space="preserve"> Covid-19 crisis on the economy and the population.</w:t>
      </w:r>
    </w:p>
    <w:p w14:paraId="75E147A5" w14:textId="4D7A5C51" w:rsidR="00F05C0B" w:rsidRPr="00CD3D9C" w:rsidRDefault="006B30ED" w:rsidP="00EC682C">
      <w:pPr>
        <w:pStyle w:val="ListParagraph"/>
        <w:numPr>
          <w:ilvl w:val="0"/>
          <w:numId w:val="39"/>
        </w:numPr>
        <w:rPr>
          <w:szCs w:val="20"/>
        </w:rPr>
      </w:pPr>
      <w:r w:rsidRPr="00CD3D9C">
        <w:rPr>
          <w:szCs w:val="20"/>
        </w:rPr>
        <w:t>The second outcome pathway is to achieve quality in the delivery of financing through prioritization and alignment of investments with long-term national development priority areas</w:t>
      </w:r>
      <w:r w:rsidR="005110F8">
        <w:rPr>
          <w:szCs w:val="20"/>
        </w:rPr>
        <w:t>,</w:t>
      </w:r>
      <w:r w:rsidRPr="00CD3D9C">
        <w:rPr>
          <w:szCs w:val="20"/>
        </w:rPr>
        <w:t xml:space="preserve"> including climate action and social sector reform</w:t>
      </w:r>
      <w:r w:rsidR="002432F6">
        <w:rPr>
          <w:szCs w:val="20"/>
        </w:rPr>
        <w:t xml:space="preserve"> to meet the needs of women</w:t>
      </w:r>
      <w:r w:rsidR="001609A2">
        <w:rPr>
          <w:szCs w:val="20"/>
        </w:rPr>
        <w:t xml:space="preserve"> and men</w:t>
      </w:r>
      <w:r w:rsidRPr="00CD3D9C">
        <w:rPr>
          <w:szCs w:val="20"/>
        </w:rPr>
        <w:t xml:space="preserve">. This is achieved through a strengthened institutional architecture that </w:t>
      </w:r>
      <w:r w:rsidR="0056525E">
        <w:rPr>
          <w:szCs w:val="20"/>
        </w:rPr>
        <w:t xml:space="preserve">coordinates </w:t>
      </w:r>
      <w:r w:rsidRPr="00CD3D9C">
        <w:rPr>
          <w:szCs w:val="20"/>
        </w:rPr>
        <w:t xml:space="preserve">national planning and financing processes </w:t>
      </w:r>
      <w:r w:rsidR="0056525E">
        <w:rPr>
          <w:szCs w:val="20"/>
        </w:rPr>
        <w:t xml:space="preserve">as well as </w:t>
      </w:r>
      <w:r w:rsidRPr="00CD3D9C">
        <w:rPr>
          <w:szCs w:val="20"/>
        </w:rPr>
        <w:t>the various financing</w:t>
      </w:r>
      <w:r w:rsidR="00470489" w:rsidRPr="00CD3D9C">
        <w:rPr>
          <w:szCs w:val="20"/>
        </w:rPr>
        <w:t xml:space="preserve"> policies and reform initiatives involving</w:t>
      </w:r>
      <w:r w:rsidRPr="00CD3D9C">
        <w:rPr>
          <w:szCs w:val="20"/>
        </w:rPr>
        <w:t xml:space="preserve"> public finance, ODA, climate finance and private finance</w:t>
      </w:r>
      <w:r w:rsidR="00470489" w:rsidRPr="00CD3D9C">
        <w:rPr>
          <w:szCs w:val="20"/>
        </w:rPr>
        <w:t xml:space="preserve"> actors</w:t>
      </w:r>
      <w:r w:rsidRPr="00CD3D9C">
        <w:rPr>
          <w:szCs w:val="20"/>
        </w:rPr>
        <w:t xml:space="preserve">. </w:t>
      </w:r>
      <w:bookmarkStart w:id="15" w:name="_Hlk36293967"/>
      <w:r w:rsidR="00470489" w:rsidRPr="00CD3D9C">
        <w:rPr>
          <w:szCs w:val="20"/>
        </w:rPr>
        <w:t xml:space="preserve">The quality of delivery will be further improved through strengthened </w:t>
      </w:r>
      <w:r w:rsidR="002829E0">
        <w:rPr>
          <w:szCs w:val="20"/>
        </w:rPr>
        <w:t xml:space="preserve">the </w:t>
      </w:r>
      <w:r w:rsidR="00470489" w:rsidRPr="00CD3D9C">
        <w:rPr>
          <w:szCs w:val="20"/>
        </w:rPr>
        <w:t>monitoring of investments and assessment of impact of public and private financing</w:t>
      </w:r>
      <w:r w:rsidR="001609A2">
        <w:rPr>
          <w:szCs w:val="20"/>
        </w:rPr>
        <w:t xml:space="preserve"> on women and men</w:t>
      </w:r>
      <w:r w:rsidR="00470489" w:rsidRPr="00CD3D9C">
        <w:rPr>
          <w:szCs w:val="20"/>
        </w:rPr>
        <w:t xml:space="preserve">. The quality of delivery of financing is expected to </w:t>
      </w:r>
      <w:r w:rsidR="00024A89" w:rsidRPr="00CD3D9C">
        <w:rPr>
          <w:szCs w:val="20"/>
        </w:rPr>
        <w:t>enhance</w:t>
      </w:r>
      <w:r w:rsidR="00470489" w:rsidRPr="00CD3D9C">
        <w:rPr>
          <w:szCs w:val="20"/>
        </w:rPr>
        <w:t xml:space="preserve"> through stronger dialogue and collaboration on financing policy between government and other non-state stakeholders.</w:t>
      </w:r>
    </w:p>
    <w:p w14:paraId="0B8484C5" w14:textId="29E78B35" w:rsidR="00156496" w:rsidRPr="00CD3D9C" w:rsidRDefault="00156496" w:rsidP="00EC682C">
      <w:pPr>
        <w:rPr>
          <w:i/>
          <w:color w:val="C45911" w:themeColor="accent2" w:themeShade="BF"/>
          <w:szCs w:val="20"/>
        </w:rPr>
      </w:pPr>
    </w:p>
    <w:bookmarkEnd w:id="15"/>
    <w:p w14:paraId="06EF4FB7" w14:textId="07B0781B" w:rsidR="0017327D" w:rsidRPr="00C107A4" w:rsidRDefault="0098282F" w:rsidP="00EC682C">
      <w:pPr>
        <w:rPr>
          <w:i/>
          <w:szCs w:val="20"/>
        </w:rPr>
      </w:pPr>
      <w:r w:rsidRPr="00C107A4">
        <w:rPr>
          <w:i/>
          <w:szCs w:val="20"/>
        </w:rPr>
        <w:t>b) Detailed explanation</w:t>
      </w:r>
      <w:r w:rsidR="0093195D" w:rsidRPr="00C107A4">
        <w:rPr>
          <w:i/>
          <w:szCs w:val="20"/>
        </w:rPr>
        <w:t xml:space="preserve"> </w:t>
      </w:r>
    </w:p>
    <w:p w14:paraId="6F57A039" w14:textId="77777777" w:rsidR="00C107A4" w:rsidRDefault="00C107A4" w:rsidP="00EC682C">
      <w:pPr>
        <w:rPr>
          <w:szCs w:val="20"/>
        </w:rPr>
      </w:pPr>
    </w:p>
    <w:p w14:paraId="2ED2BE3B" w14:textId="349FBE63" w:rsidR="00B26D9E" w:rsidRPr="00CD3D9C" w:rsidRDefault="006D54CA" w:rsidP="00EC682C">
      <w:pPr>
        <w:rPr>
          <w:szCs w:val="20"/>
        </w:rPr>
      </w:pPr>
      <w:r w:rsidRPr="00CD3D9C">
        <w:rPr>
          <w:szCs w:val="20"/>
        </w:rPr>
        <w:t xml:space="preserve">The </w:t>
      </w:r>
      <w:r w:rsidR="00D23623" w:rsidRPr="00CD3D9C">
        <w:rPr>
          <w:szCs w:val="20"/>
        </w:rPr>
        <w:t xml:space="preserve">outcome pathways </w:t>
      </w:r>
      <w:r w:rsidR="0017596E" w:rsidRPr="00CD3D9C">
        <w:rPr>
          <w:szCs w:val="20"/>
        </w:rPr>
        <w:t>are</w:t>
      </w:r>
      <w:r w:rsidR="00D23623" w:rsidRPr="00CD3D9C">
        <w:rPr>
          <w:szCs w:val="20"/>
        </w:rPr>
        <w:t xml:space="preserve"> linked to a range of interventions and reforms that are currently ongoing and those that will be supported through the JP. The first outcome pathway is achieved through the operationalization of </w:t>
      </w:r>
      <w:r w:rsidR="00987D92" w:rsidRPr="00CD3D9C">
        <w:rPr>
          <w:szCs w:val="20"/>
        </w:rPr>
        <w:t>the</w:t>
      </w:r>
      <w:r w:rsidR="00D23623" w:rsidRPr="00CD3D9C">
        <w:rPr>
          <w:szCs w:val="20"/>
        </w:rPr>
        <w:t xml:space="preserve"> </w:t>
      </w:r>
      <w:r w:rsidR="00987D92" w:rsidRPr="00CD3D9C">
        <w:rPr>
          <w:color w:val="000000" w:themeColor="text1"/>
          <w:szCs w:val="20"/>
        </w:rPr>
        <w:t>National Integrated Financing Strategy</w:t>
      </w:r>
      <w:r w:rsidR="00D23623" w:rsidRPr="00CD3D9C">
        <w:rPr>
          <w:szCs w:val="20"/>
        </w:rPr>
        <w:t xml:space="preserve">. This in turn is achieved through the compilation of a concrete financing strategy and through supporting the implementation of key elements of the strategy to help put into motion its full implementation. The </w:t>
      </w:r>
      <w:r w:rsidR="00987D92" w:rsidRPr="00CD3D9C">
        <w:rPr>
          <w:color w:val="000000" w:themeColor="text1"/>
          <w:szCs w:val="20"/>
        </w:rPr>
        <w:t xml:space="preserve">National Integrated Financing Strategy </w:t>
      </w:r>
      <w:r w:rsidR="00D23623" w:rsidRPr="00CD3D9C">
        <w:rPr>
          <w:szCs w:val="20"/>
        </w:rPr>
        <w:t>will</w:t>
      </w:r>
      <w:r w:rsidR="00EF573F" w:rsidRPr="00CD3D9C">
        <w:rPr>
          <w:szCs w:val="20"/>
        </w:rPr>
        <w:t xml:space="preserve"> be based on reliable financing gap estimates and will</w:t>
      </w:r>
      <w:r w:rsidR="00D23623" w:rsidRPr="00CD3D9C">
        <w:rPr>
          <w:szCs w:val="20"/>
        </w:rPr>
        <w:t xml:space="preserve"> </w:t>
      </w:r>
      <w:r w:rsidR="008633A8" w:rsidRPr="00CD3D9C">
        <w:rPr>
          <w:szCs w:val="20"/>
        </w:rPr>
        <w:t>respond to the recommendations</w:t>
      </w:r>
      <w:r w:rsidR="00D23623" w:rsidRPr="00CD3D9C">
        <w:rPr>
          <w:szCs w:val="20"/>
        </w:rPr>
        <w:t xml:space="preserve"> of various ongoing assessments including the DFA. </w:t>
      </w:r>
      <w:r w:rsidR="00B26D9E" w:rsidRPr="00CD3D9C">
        <w:rPr>
          <w:szCs w:val="20"/>
        </w:rPr>
        <w:t>The financing strategy will respond to existing problems</w:t>
      </w:r>
      <w:r w:rsidR="00217215">
        <w:rPr>
          <w:szCs w:val="20"/>
        </w:rPr>
        <w:t>,</w:t>
      </w:r>
      <w:r w:rsidR="00B26D9E" w:rsidRPr="00CD3D9C">
        <w:rPr>
          <w:szCs w:val="20"/>
        </w:rPr>
        <w:t xml:space="preserve"> including the narrow financing base</w:t>
      </w:r>
      <w:r w:rsidR="00217215">
        <w:rPr>
          <w:szCs w:val="20"/>
        </w:rPr>
        <w:t>,</w:t>
      </w:r>
      <w:r w:rsidR="00B26D9E" w:rsidRPr="00CD3D9C">
        <w:rPr>
          <w:szCs w:val="20"/>
        </w:rPr>
        <w:t xml:space="preserve"> by identifying and broadening the actors involved (private sector, non-traditional donors)</w:t>
      </w:r>
      <w:r w:rsidR="00CE01DB">
        <w:rPr>
          <w:szCs w:val="20"/>
        </w:rPr>
        <w:t xml:space="preserve"> and will factor in the impact of the ongoi</w:t>
      </w:r>
      <w:r w:rsidR="00217215">
        <w:rPr>
          <w:szCs w:val="20"/>
        </w:rPr>
        <w:t>n</w:t>
      </w:r>
      <w:r w:rsidR="00CE01DB">
        <w:rPr>
          <w:szCs w:val="20"/>
        </w:rPr>
        <w:t xml:space="preserve">g Covid-19 </w:t>
      </w:r>
      <w:r w:rsidR="00CE01DB">
        <w:rPr>
          <w:szCs w:val="20"/>
        </w:rPr>
        <w:lastRenderedPageBreak/>
        <w:t>crisis on the broader economy and more specifically on the public and private financing</w:t>
      </w:r>
      <w:r w:rsidR="00B26D9E" w:rsidRPr="00CD3D9C">
        <w:rPr>
          <w:szCs w:val="20"/>
        </w:rPr>
        <w:t xml:space="preserve">. It will respond to the problems identified in public finance including the need for optimisation of spending and improving tracking of public investments in climate action with a view to leveraging greater private investments and ODA. </w:t>
      </w:r>
      <w:r w:rsidR="00D16BCD" w:rsidRPr="00CD3D9C">
        <w:rPr>
          <w:szCs w:val="20"/>
        </w:rPr>
        <w:t>The financing strategy will identify and prioritise key reforms and initiatives that will be implemented to unlock new resources, partnerships and greater contributions toward sustainable development priorities.</w:t>
      </w:r>
    </w:p>
    <w:p w14:paraId="42FF2C81" w14:textId="77777777" w:rsidR="00B26D9E" w:rsidRPr="00CD3D9C" w:rsidRDefault="00B26D9E" w:rsidP="00EC682C">
      <w:pPr>
        <w:rPr>
          <w:szCs w:val="20"/>
        </w:rPr>
      </w:pPr>
    </w:p>
    <w:p w14:paraId="496C5AAF" w14:textId="25D86F39" w:rsidR="00B26D9E" w:rsidRPr="00CD3D9C" w:rsidRDefault="00D23623" w:rsidP="00EC682C">
      <w:pPr>
        <w:rPr>
          <w:szCs w:val="20"/>
        </w:rPr>
      </w:pPr>
      <w:r w:rsidRPr="00CD3D9C">
        <w:rPr>
          <w:szCs w:val="20"/>
        </w:rPr>
        <w:t>The JP will support the development of cost estimates in priority areas where the data is missing</w:t>
      </w:r>
      <w:r w:rsidR="00877D5D">
        <w:rPr>
          <w:szCs w:val="20"/>
        </w:rPr>
        <w:t>,</w:t>
      </w:r>
      <w:r w:rsidR="00EF573F" w:rsidRPr="00CD3D9C">
        <w:rPr>
          <w:szCs w:val="20"/>
        </w:rPr>
        <w:t xml:space="preserve"> including costing required for climate resilience interventions</w:t>
      </w:r>
      <w:r w:rsidR="00877D5D">
        <w:rPr>
          <w:szCs w:val="20"/>
        </w:rPr>
        <w:t>,</w:t>
      </w:r>
      <w:r w:rsidR="00EF573F" w:rsidRPr="00CD3D9C">
        <w:rPr>
          <w:szCs w:val="20"/>
        </w:rPr>
        <w:t xml:space="preserve"> and cost estimates to reform the social service delivery sector</w:t>
      </w:r>
      <w:r w:rsidR="00287374">
        <w:rPr>
          <w:szCs w:val="20"/>
        </w:rPr>
        <w:t>. The costing exercises will</w:t>
      </w:r>
      <w:r w:rsidR="008633A8" w:rsidRPr="00CD3D9C">
        <w:rPr>
          <w:szCs w:val="20"/>
        </w:rPr>
        <w:t xml:space="preserve"> </w:t>
      </w:r>
      <w:bookmarkStart w:id="16" w:name="_Hlk34914654"/>
      <w:r w:rsidR="00A00A5A" w:rsidRPr="00CD3D9C">
        <w:rPr>
          <w:szCs w:val="20"/>
        </w:rPr>
        <w:t>tak</w:t>
      </w:r>
      <w:r w:rsidR="00AF47D8">
        <w:rPr>
          <w:szCs w:val="20"/>
        </w:rPr>
        <w:t>e</w:t>
      </w:r>
      <w:r w:rsidR="00A00A5A" w:rsidRPr="00CD3D9C">
        <w:rPr>
          <w:szCs w:val="20"/>
        </w:rPr>
        <w:t xml:space="preserve"> into account the</w:t>
      </w:r>
      <w:r w:rsidR="00287374">
        <w:rPr>
          <w:szCs w:val="20"/>
        </w:rPr>
        <w:t xml:space="preserve"> impact of the Covid-19 pandemic on the Maldives </w:t>
      </w:r>
      <w:r w:rsidR="00287374" w:rsidRPr="00CD3D9C">
        <w:rPr>
          <w:szCs w:val="20"/>
        </w:rPr>
        <w:t xml:space="preserve">SDG </w:t>
      </w:r>
      <w:r w:rsidR="00287374">
        <w:rPr>
          <w:szCs w:val="20"/>
        </w:rPr>
        <w:t>status</w:t>
      </w:r>
      <w:r w:rsidR="00287374" w:rsidRPr="00CD3D9C">
        <w:rPr>
          <w:szCs w:val="20"/>
        </w:rPr>
        <w:t xml:space="preserve"> relevant to climate action (Goal 2, 6, 7, 1</w:t>
      </w:r>
      <w:r w:rsidR="00287374" w:rsidRPr="00E338AD">
        <w:rPr>
          <w:szCs w:val="20"/>
        </w:rPr>
        <w:t>1</w:t>
      </w:r>
      <w:r w:rsidR="00287374" w:rsidRPr="00CD3D9C">
        <w:rPr>
          <w:szCs w:val="20"/>
        </w:rPr>
        <w:t>, 14, 15)</w:t>
      </w:r>
      <w:r w:rsidR="00287374">
        <w:rPr>
          <w:szCs w:val="20"/>
        </w:rPr>
        <w:t>;</w:t>
      </w:r>
      <w:r w:rsidR="00287374" w:rsidRPr="00CD3D9C">
        <w:rPr>
          <w:szCs w:val="20"/>
        </w:rPr>
        <w:t xml:space="preserve"> and social services (Goal </w:t>
      </w:r>
      <w:r w:rsidR="00287374">
        <w:rPr>
          <w:szCs w:val="20"/>
        </w:rPr>
        <w:t xml:space="preserve">1, </w:t>
      </w:r>
      <w:r w:rsidR="00287374" w:rsidRPr="00CD3D9C">
        <w:rPr>
          <w:szCs w:val="20"/>
        </w:rPr>
        <w:t>2, 3, 4, 5, 7, 10)</w:t>
      </w:r>
      <w:r w:rsidR="00287374">
        <w:rPr>
          <w:szCs w:val="20"/>
        </w:rPr>
        <w:t>. The costing exercises will cover policies and plans that aim to reduce</w:t>
      </w:r>
      <w:r w:rsidR="00A00A5A" w:rsidRPr="00CD3D9C">
        <w:rPr>
          <w:szCs w:val="20"/>
        </w:rPr>
        <w:t xml:space="preserve"> inequalities that disadvantage</w:t>
      </w:r>
      <w:r w:rsidR="008633A8" w:rsidRPr="00CD3D9C">
        <w:rPr>
          <w:szCs w:val="20"/>
        </w:rPr>
        <w:t xml:space="preserve"> women, unemployed and at-risk youth, elderly,</w:t>
      </w:r>
      <w:r w:rsidR="00E275AF">
        <w:rPr>
          <w:szCs w:val="20"/>
        </w:rPr>
        <w:t xml:space="preserve"> </w:t>
      </w:r>
      <w:r w:rsidR="00E275AF" w:rsidRPr="00F977D6">
        <w:rPr>
          <w:szCs w:val="20"/>
        </w:rPr>
        <w:t>persons with disability,</w:t>
      </w:r>
      <w:r w:rsidR="008633A8" w:rsidRPr="00F977D6">
        <w:rPr>
          <w:szCs w:val="20"/>
        </w:rPr>
        <w:t xml:space="preserve"> children</w:t>
      </w:r>
      <w:r w:rsidR="008633A8" w:rsidRPr="00CD3D9C">
        <w:rPr>
          <w:szCs w:val="20"/>
        </w:rPr>
        <w:t>, migrant population and those living in remote islands</w:t>
      </w:r>
      <w:r w:rsidR="00024A89" w:rsidRPr="00CD3D9C">
        <w:rPr>
          <w:szCs w:val="20"/>
        </w:rPr>
        <w:t xml:space="preserve"> with high exposure to climate induced disasters</w:t>
      </w:r>
      <w:r w:rsidR="00EF573F" w:rsidRPr="00CD3D9C">
        <w:rPr>
          <w:szCs w:val="20"/>
        </w:rPr>
        <w:t xml:space="preserve">. </w:t>
      </w:r>
      <w:bookmarkEnd w:id="16"/>
      <w:r w:rsidR="00EF573F" w:rsidRPr="00CD3D9C">
        <w:rPr>
          <w:szCs w:val="20"/>
        </w:rPr>
        <w:t xml:space="preserve">The costing will innovatively apply a human </w:t>
      </w:r>
      <w:r w:rsidR="003B6016" w:rsidRPr="00CD3D9C">
        <w:rPr>
          <w:szCs w:val="20"/>
        </w:rPr>
        <w:t xml:space="preserve">capital </w:t>
      </w:r>
      <w:r w:rsidR="00EF573F" w:rsidRPr="00CD3D9C">
        <w:rPr>
          <w:szCs w:val="20"/>
        </w:rPr>
        <w:t>investment lens</w:t>
      </w:r>
      <w:r w:rsidR="00F07243" w:rsidRPr="00CD3D9C">
        <w:rPr>
          <w:szCs w:val="20"/>
        </w:rPr>
        <w:t xml:space="preserve">. Given that most of the social sector services are labour intensive and there is a high reliance on foreign labour, in the long-term, investments in </w:t>
      </w:r>
      <w:r w:rsidR="00877D5D">
        <w:rPr>
          <w:szCs w:val="20"/>
        </w:rPr>
        <w:t xml:space="preserve">the </w:t>
      </w:r>
      <w:r w:rsidR="00F07243" w:rsidRPr="00CD3D9C">
        <w:rPr>
          <w:szCs w:val="20"/>
        </w:rPr>
        <w:t>social sector will not sustain and improve service quality unless investments are made to build local human resource capacity. This approach aims to unlock employment opportunities for social sector services for unemployed Maldivian women</w:t>
      </w:r>
      <w:r w:rsidR="00E85202" w:rsidRPr="00CD3D9C">
        <w:rPr>
          <w:szCs w:val="20"/>
        </w:rPr>
        <w:t xml:space="preserve"> including young women and men</w:t>
      </w:r>
      <w:r w:rsidR="006F548C">
        <w:rPr>
          <w:szCs w:val="20"/>
        </w:rPr>
        <w:t>. At the same time, the approach can contribute to</w:t>
      </w:r>
      <w:r w:rsidR="00F07243" w:rsidRPr="00CD3D9C">
        <w:rPr>
          <w:szCs w:val="20"/>
        </w:rPr>
        <w:t xml:space="preserve"> reduc</w:t>
      </w:r>
      <w:r w:rsidR="006F548C">
        <w:rPr>
          <w:szCs w:val="20"/>
        </w:rPr>
        <w:t>ing</w:t>
      </w:r>
      <w:r w:rsidR="00F07243" w:rsidRPr="00CD3D9C">
        <w:rPr>
          <w:szCs w:val="20"/>
        </w:rPr>
        <w:t xml:space="preserve"> remittance outflows.</w:t>
      </w:r>
      <w:r w:rsidR="003B6016" w:rsidRPr="00CD3D9C">
        <w:rPr>
          <w:szCs w:val="20"/>
        </w:rPr>
        <w:t xml:space="preserve"> A methodology that builds the capacity of the government to undertake periodic costing will be prioritized.</w:t>
      </w:r>
      <w:r w:rsidR="00F07243" w:rsidRPr="00CD3D9C">
        <w:rPr>
          <w:szCs w:val="20"/>
        </w:rPr>
        <w:t xml:space="preserve"> </w:t>
      </w:r>
      <w:r w:rsidR="00EF573F" w:rsidRPr="00CD3D9C">
        <w:rPr>
          <w:szCs w:val="20"/>
        </w:rPr>
        <w:t xml:space="preserve">The JP will </w:t>
      </w:r>
      <w:r w:rsidR="00B26D9E" w:rsidRPr="00CD3D9C">
        <w:rPr>
          <w:szCs w:val="20"/>
        </w:rPr>
        <w:t xml:space="preserve">also </w:t>
      </w:r>
      <w:r w:rsidR="00EF573F" w:rsidRPr="00CD3D9C">
        <w:rPr>
          <w:szCs w:val="20"/>
        </w:rPr>
        <w:t>support the implementation of key elements of the financing strategy</w:t>
      </w:r>
      <w:r w:rsidR="007304FE" w:rsidRPr="00CD3D9C">
        <w:rPr>
          <w:szCs w:val="20"/>
        </w:rPr>
        <w:t xml:space="preserve"> which includes capacity building on implementing PFM reforms in the social sector</w:t>
      </w:r>
      <w:r w:rsidR="00A00A5A" w:rsidRPr="00CD3D9C">
        <w:rPr>
          <w:szCs w:val="20"/>
        </w:rPr>
        <w:t xml:space="preserve"> to address the need to account </w:t>
      </w:r>
      <w:r w:rsidR="003B6016" w:rsidRPr="00CD3D9C">
        <w:rPr>
          <w:szCs w:val="20"/>
        </w:rPr>
        <w:t>for</w:t>
      </w:r>
      <w:r w:rsidR="00A00A5A" w:rsidRPr="00CD3D9C">
        <w:rPr>
          <w:szCs w:val="20"/>
        </w:rPr>
        <w:t xml:space="preserve"> inequalities, including gender inequalities, in fiscal policy and </w:t>
      </w:r>
      <w:r w:rsidR="003B6016" w:rsidRPr="00CD3D9C">
        <w:rPr>
          <w:szCs w:val="20"/>
        </w:rPr>
        <w:t xml:space="preserve">in ongoing PFM </w:t>
      </w:r>
      <w:r w:rsidR="00D345F1">
        <w:rPr>
          <w:szCs w:val="20"/>
        </w:rPr>
        <w:t xml:space="preserve">reforms. </w:t>
      </w:r>
      <w:r w:rsidR="00A00A5A" w:rsidRPr="00CD3D9C">
        <w:rPr>
          <w:szCs w:val="20"/>
        </w:rPr>
        <w:t xml:space="preserve">Other elements include </w:t>
      </w:r>
      <w:r w:rsidR="00EF573F" w:rsidRPr="00CD3D9C">
        <w:rPr>
          <w:szCs w:val="20"/>
        </w:rPr>
        <w:t>promoting clima</w:t>
      </w:r>
      <w:r w:rsidR="00E85202" w:rsidRPr="00CD3D9C">
        <w:rPr>
          <w:szCs w:val="20"/>
        </w:rPr>
        <w:t>te financing including</w:t>
      </w:r>
      <w:r w:rsidR="007304FE" w:rsidRPr="00CD3D9C">
        <w:rPr>
          <w:szCs w:val="20"/>
        </w:rPr>
        <w:t xml:space="preserve"> putting in place incentive structure and advocacy to</w:t>
      </w:r>
      <w:r w:rsidR="00E85202" w:rsidRPr="00CD3D9C">
        <w:rPr>
          <w:szCs w:val="20"/>
        </w:rPr>
        <w:t xml:space="preserve"> leverag</w:t>
      </w:r>
      <w:r w:rsidR="007304FE" w:rsidRPr="00CD3D9C">
        <w:rPr>
          <w:szCs w:val="20"/>
        </w:rPr>
        <w:t>e</w:t>
      </w:r>
      <w:r w:rsidR="00E85202" w:rsidRPr="00CD3D9C">
        <w:rPr>
          <w:szCs w:val="20"/>
        </w:rPr>
        <w:t xml:space="preserve"> climate finance from the private sector</w:t>
      </w:r>
      <w:r w:rsidR="00EF573F" w:rsidRPr="00CD3D9C">
        <w:rPr>
          <w:szCs w:val="20"/>
        </w:rPr>
        <w:t xml:space="preserve">. </w:t>
      </w:r>
    </w:p>
    <w:p w14:paraId="12B8E1BF" w14:textId="77777777" w:rsidR="00B26D9E" w:rsidRPr="00CD3D9C" w:rsidRDefault="00B26D9E" w:rsidP="00EC682C">
      <w:pPr>
        <w:rPr>
          <w:szCs w:val="20"/>
        </w:rPr>
      </w:pPr>
    </w:p>
    <w:p w14:paraId="54A61B00" w14:textId="62430F6D" w:rsidR="006B30ED" w:rsidRPr="00CD3D9C" w:rsidRDefault="00EF573F" w:rsidP="00EC682C">
      <w:pPr>
        <w:rPr>
          <w:szCs w:val="20"/>
        </w:rPr>
      </w:pPr>
      <w:r w:rsidRPr="00CD3D9C">
        <w:rPr>
          <w:szCs w:val="20"/>
        </w:rPr>
        <w:t xml:space="preserve">The full implementation of the financing strategy will not be achieved unless the second outcome pathway is effective. </w:t>
      </w:r>
      <w:r w:rsidR="008633A8" w:rsidRPr="00CD3D9C">
        <w:rPr>
          <w:szCs w:val="20"/>
        </w:rPr>
        <w:t xml:space="preserve">The second outcome pathway </w:t>
      </w:r>
      <w:bookmarkStart w:id="17" w:name="_Hlk36294383"/>
      <w:r w:rsidR="008633A8" w:rsidRPr="00CD3D9C">
        <w:rPr>
          <w:szCs w:val="20"/>
        </w:rPr>
        <w:t>will deepen the alignment of financing policy to national planning (vertical alignment) and build stronger integration across the public and private fin</w:t>
      </w:r>
      <w:r w:rsidR="00562507" w:rsidRPr="00CD3D9C">
        <w:rPr>
          <w:szCs w:val="20"/>
        </w:rPr>
        <w:t>ancing</w:t>
      </w:r>
      <w:r w:rsidR="008633A8" w:rsidRPr="00CD3D9C">
        <w:rPr>
          <w:szCs w:val="20"/>
        </w:rPr>
        <w:t xml:space="preserve"> policies (lateral integration). This is achieved through </w:t>
      </w:r>
      <w:r w:rsidR="004E3142" w:rsidRPr="00CD3D9C">
        <w:rPr>
          <w:szCs w:val="20"/>
        </w:rPr>
        <w:t>the development</w:t>
      </w:r>
      <w:r w:rsidRPr="00CD3D9C">
        <w:rPr>
          <w:szCs w:val="20"/>
        </w:rPr>
        <w:t xml:space="preserve"> of </w:t>
      </w:r>
      <w:r w:rsidR="008633A8" w:rsidRPr="00CD3D9C">
        <w:rPr>
          <w:szCs w:val="20"/>
        </w:rPr>
        <w:t>a more coordinated and coherent</w:t>
      </w:r>
      <w:r w:rsidRPr="00CD3D9C">
        <w:rPr>
          <w:szCs w:val="20"/>
        </w:rPr>
        <w:t xml:space="preserve"> national planning and financing architecture</w:t>
      </w:r>
      <w:r w:rsidR="008633A8" w:rsidRPr="00CD3D9C">
        <w:rPr>
          <w:szCs w:val="20"/>
        </w:rPr>
        <w:t xml:space="preserve"> with capacity to implement a more integrated, holistic approach to financing national sustainable development. </w:t>
      </w:r>
      <w:bookmarkEnd w:id="17"/>
      <w:r w:rsidR="00B26D9E" w:rsidRPr="00CD3D9C">
        <w:rPr>
          <w:szCs w:val="20"/>
        </w:rPr>
        <w:t>These JP interventions will complement ongoing efforts by the government to transition to programme</w:t>
      </w:r>
      <w:r w:rsidR="00D345F1">
        <w:rPr>
          <w:szCs w:val="20"/>
        </w:rPr>
        <w:t>-</w:t>
      </w:r>
      <w:r w:rsidR="00B26D9E" w:rsidRPr="00CD3D9C">
        <w:rPr>
          <w:szCs w:val="20"/>
        </w:rPr>
        <w:t xml:space="preserve">based budgeting to bring about the alignment of public finance with the </w:t>
      </w:r>
      <w:r w:rsidR="00AE6F74" w:rsidRPr="00CD3D9C">
        <w:rPr>
          <w:szCs w:val="20"/>
        </w:rPr>
        <w:t>medium-term</w:t>
      </w:r>
      <w:r w:rsidR="00B26D9E" w:rsidRPr="00CD3D9C">
        <w:rPr>
          <w:szCs w:val="20"/>
        </w:rPr>
        <w:t xml:space="preserve"> national development plan.</w:t>
      </w:r>
      <w:r w:rsidRPr="00CD3D9C">
        <w:rPr>
          <w:szCs w:val="20"/>
        </w:rPr>
        <w:t xml:space="preserve"> </w:t>
      </w:r>
      <w:r w:rsidR="00B26D9E" w:rsidRPr="00CD3D9C">
        <w:rPr>
          <w:szCs w:val="20"/>
        </w:rPr>
        <w:t>The JP support to the national architecture</w:t>
      </w:r>
      <w:r w:rsidRPr="00CD3D9C">
        <w:rPr>
          <w:szCs w:val="20"/>
        </w:rPr>
        <w:t xml:space="preserve"> will be achieved through the completion of the design</w:t>
      </w:r>
      <w:r w:rsidR="008D1D45">
        <w:rPr>
          <w:szCs w:val="20"/>
        </w:rPr>
        <w:t xml:space="preserve"> and operations</w:t>
      </w:r>
      <w:r w:rsidRPr="00CD3D9C">
        <w:rPr>
          <w:szCs w:val="20"/>
        </w:rPr>
        <w:t xml:space="preserve"> of the INFF </w:t>
      </w:r>
      <w:r w:rsidR="008633A8" w:rsidRPr="00CD3D9C">
        <w:rPr>
          <w:szCs w:val="20"/>
        </w:rPr>
        <w:t>O</w:t>
      </w:r>
      <w:r w:rsidRPr="00CD3D9C">
        <w:rPr>
          <w:szCs w:val="20"/>
        </w:rPr>
        <w:t xml:space="preserve">versight </w:t>
      </w:r>
      <w:r w:rsidR="008633A8" w:rsidRPr="00CD3D9C">
        <w:rPr>
          <w:szCs w:val="20"/>
        </w:rPr>
        <w:t>C</w:t>
      </w:r>
      <w:r w:rsidRPr="00CD3D9C">
        <w:rPr>
          <w:szCs w:val="20"/>
        </w:rPr>
        <w:t xml:space="preserve">ommittee and through </w:t>
      </w:r>
      <w:r w:rsidR="00D345F1">
        <w:rPr>
          <w:szCs w:val="20"/>
        </w:rPr>
        <w:t xml:space="preserve">building the </w:t>
      </w:r>
      <w:r w:rsidRPr="00CD3D9C">
        <w:rPr>
          <w:szCs w:val="20"/>
        </w:rPr>
        <w:t xml:space="preserve">capacity </w:t>
      </w:r>
      <w:r w:rsidR="00D345F1">
        <w:rPr>
          <w:szCs w:val="20"/>
        </w:rPr>
        <w:t>of</w:t>
      </w:r>
      <w:r w:rsidRPr="00CD3D9C">
        <w:rPr>
          <w:szCs w:val="20"/>
        </w:rPr>
        <w:t xml:space="preserve"> the committee </w:t>
      </w:r>
      <w:r w:rsidR="00D345F1">
        <w:rPr>
          <w:szCs w:val="20"/>
        </w:rPr>
        <w:t xml:space="preserve">and private sector </w:t>
      </w:r>
      <w:r w:rsidRPr="00CD3D9C">
        <w:rPr>
          <w:szCs w:val="20"/>
        </w:rPr>
        <w:t>stakeholders to</w:t>
      </w:r>
      <w:r w:rsidR="00D345F1">
        <w:rPr>
          <w:szCs w:val="20"/>
        </w:rPr>
        <w:t xml:space="preserve"> collaborate</w:t>
      </w:r>
      <w:r w:rsidRPr="00CD3D9C">
        <w:rPr>
          <w:szCs w:val="20"/>
        </w:rPr>
        <w:t xml:space="preserve"> </w:t>
      </w:r>
      <w:r w:rsidR="00D345F1">
        <w:rPr>
          <w:szCs w:val="20"/>
        </w:rPr>
        <w:t xml:space="preserve">on the implementation of </w:t>
      </w:r>
      <w:r w:rsidRPr="00CD3D9C">
        <w:rPr>
          <w:szCs w:val="20"/>
        </w:rPr>
        <w:t xml:space="preserve">the </w:t>
      </w:r>
      <w:r w:rsidR="00987D92" w:rsidRPr="00CD3D9C">
        <w:rPr>
          <w:color w:val="000000" w:themeColor="text1"/>
          <w:szCs w:val="20"/>
        </w:rPr>
        <w:t xml:space="preserve">National Integrated Financing Strategy </w:t>
      </w:r>
      <w:r w:rsidRPr="00CD3D9C">
        <w:rPr>
          <w:szCs w:val="20"/>
        </w:rPr>
        <w:t xml:space="preserve">highlighted in the first outcome pathway. </w:t>
      </w:r>
    </w:p>
    <w:p w14:paraId="13DE17FD" w14:textId="77777777" w:rsidR="006B30ED" w:rsidRPr="00CD3D9C" w:rsidRDefault="006B30ED" w:rsidP="00EC682C">
      <w:pPr>
        <w:pStyle w:val="CommentText"/>
        <w:rPr>
          <w:b/>
          <w:color w:val="2F5496" w:themeColor="accent1" w:themeShade="BF"/>
        </w:rPr>
      </w:pPr>
    </w:p>
    <w:p w14:paraId="09F43441" w14:textId="08210A39" w:rsidR="00222132" w:rsidRPr="00C107A4" w:rsidRDefault="00222132" w:rsidP="0081556D">
      <w:pPr>
        <w:jc w:val="both"/>
        <w:rPr>
          <w:i/>
          <w:szCs w:val="20"/>
        </w:rPr>
      </w:pPr>
      <w:r w:rsidRPr="00C107A4">
        <w:rPr>
          <w:i/>
          <w:szCs w:val="20"/>
        </w:rPr>
        <w:t>c) ToC assumptions</w:t>
      </w:r>
    </w:p>
    <w:p w14:paraId="174B041A" w14:textId="1A6405D3" w:rsidR="00D23623" w:rsidRPr="00CD3D9C" w:rsidRDefault="00D23623" w:rsidP="00EC682C">
      <w:pPr>
        <w:rPr>
          <w:szCs w:val="20"/>
        </w:rPr>
      </w:pPr>
      <w:r w:rsidRPr="00CD3D9C">
        <w:rPr>
          <w:szCs w:val="20"/>
        </w:rPr>
        <w:t xml:space="preserve">The </w:t>
      </w:r>
      <w:r w:rsidR="00494B60" w:rsidRPr="00CD3D9C">
        <w:rPr>
          <w:szCs w:val="20"/>
        </w:rPr>
        <w:t>overarching assumption of</w:t>
      </w:r>
      <w:r w:rsidRPr="00CD3D9C">
        <w:rPr>
          <w:szCs w:val="20"/>
        </w:rPr>
        <w:t xml:space="preserve"> the theory of change framework is that the institutional architecture and the integrated national financing strategy will result in the prioritization and mobilization of financing for climate action and</w:t>
      </w:r>
      <w:r w:rsidR="00231E94" w:rsidRPr="00CD3D9C">
        <w:rPr>
          <w:szCs w:val="20"/>
        </w:rPr>
        <w:t xml:space="preserve"> quality</w:t>
      </w:r>
      <w:r w:rsidRPr="00CD3D9C">
        <w:rPr>
          <w:szCs w:val="20"/>
        </w:rPr>
        <w:t xml:space="preserve"> social service delivery. </w:t>
      </w:r>
    </w:p>
    <w:p w14:paraId="50463AA5" w14:textId="77777777" w:rsidR="00FA6CA6" w:rsidRPr="00CD3D9C" w:rsidRDefault="00FA6CA6" w:rsidP="0081556D">
      <w:pPr>
        <w:jc w:val="both"/>
        <w:rPr>
          <w:i/>
          <w:color w:val="C45911" w:themeColor="accent2" w:themeShade="BF"/>
          <w:szCs w:val="20"/>
        </w:rPr>
      </w:pPr>
    </w:p>
    <w:p w14:paraId="1BDF7216" w14:textId="7D992874" w:rsidR="0098282F" w:rsidRPr="00C107A4" w:rsidRDefault="0093195D" w:rsidP="004E3142">
      <w:pPr>
        <w:jc w:val="both"/>
        <w:rPr>
          <w:i/>
          <w:szCs w:val="20"/>
        </w:rPr>
      </w:pPr>
      <w:r w:rsidRPr="00C107A4">
        <w:rPr>
          <w:i/>
          <w:szCs w:val="20"/>
        </w:rPr>
        <w:t>d) G</w:t>
      </w:r>
      <w:r w:rsidR="0098282F" w:rsidRPr="00C107A4">
        <w:rPr>
          <w:i/>
          <w:szCs w:val="20"/>
        </w:rPr>
        <w:t xml:space="preserve">raphical representation </w:t>
      </w:r>
    </w:p>
    <w:p w14:paraId="6CC8D087" w14:textId="6EF4CF10" w:rsidR="00EF573F" w:rsidRPr="009B54DB" w:rsidRDefault="00EF573F" w:rsidP="001134F6">
      <w:pPr>
        <w:rPr>
          <w:i/>
          <w:color w:val="FF0000"/>
          <w:szCs w:val="20"/>
        </w:rPr>
      </w:pPr>
    </w:p>
    <w:tbl>
      <w:tblPr>
        <w:tblStyle w:val="TableGrid"/>
        <w:tblW w:w="9895" w:type="dxa"/>
        <w:tblLook w:val="04A0" w:firstRow="1" w:lastRow="0" w:firstColumn="1" w:lastColumn="0" w:noHBand="0" w:noVBand="1"/>
      </w:tblPr>
      <w:tblGrid>
        <w:gridCol w:w="9936"/>
      </w:tblGrid>
      <w:tr w:rsidR="00EF573F" w:rsidRPr="00CD3D9C" w14:paraId="1676C310" w14:textId="77777777" w:rsidTr="00B26D9E">
        <w:tc>
          <w:tcPr>
            <w:tcW w:w="9895" w:type="dxa"/>
          </w:tcPr>
          <w:p w14:paraId="18EEA684" w14:textId="7CB042C0" w:rsidR="00EF573F" w:rsidRPr="00CD3D9C" w:rsidRDefault="00EF573F" w:rsidP="001134F6">
            <w:pPr>
              <w:rPr>
                <w:i/>
                <w:color w:val="000000" w:themeColor="text1"/>
                <w:szCs w:val="20"/>
              </w:rPr>
            </w:pPr>
            <w:r w:rsidRPr="00CD3D9C">
              <w:rPr>
                <w:i/>
                <w:color w:val="000000" w:themeColor="text1"/>
                <w:szCs w:val="20"/>
              </w:rPr>
              <w:t xml:space="preserve">Figure </w:t>
            </w:r>
            <w:r w:rsidR="00287374">
              <w:rPr>
                <w:i/>
                <w:color w:val="000000" w:themeColor="text1"/>
                <w:szCs w:val="20"/>
              </w:rPr>
              <w:t>3</w:t>
            </w:r>
            <w:r w:rsidRPr="00CD3D9C">
              <w:rPr>
                <w:i/>
                <w:color w:val="000000" w:themeColor="text1"/>
                <w:szCs w:val="20"/>
              </w:rPr>
              <w:t xml:space="preserve"> </w:t>
            </w:r>
            <w:r w:rsidR="004E3142">
              <w:rPr>
                <w:i/>
                <w:color w:val="000000" w:themeColor="text1"/>
                <w:szCs w:val="20"/>
              </w:rPr>
              <w:t>JP Theory of Change illustration</w:t>
            </w:r>
            <w:r w:rsidRPr="00CD3D9C">
              <w:rPr>
                <w:i/>
                <w:color w:val="000000" w:themeColor="text1"/>
                <w:szCs w:val="20"/>
              </w:rPr>
              <w:t xml:space="preserve"> </w:t>
            </w:r>
          </w:p>
        </w:tc>
      </w:tr>
      <w:tr w:rsidR="00EF573F" w:rsidRPr="00CD3D9C" w14:paraId="7D7FC188" w14:textId="77777777" w:rsidTr="00B26D9E">
        <w:trPr>
          <w:trHeight w:val="7370"/>
        </w:trPr>
        <w:tc>
          <w:tcPr>
            <w:tcW w:w="9895" w:type="dxa"/>
          </w:tcPr>
          <w:p w14:paraId="6525FDA0" w14:textId="4C589E5B" w:rsidR="00EF573F" w:rsidRPr="00CD3D9C" w:rsidRDefault="00812DA3" w:rsidP="001134F6">
            <w:pPr>
              <w:rPr>
                <w:i/>
                <w:color w:val="000000" w:themeColor="text1"/>
                <w:szCs w:val="20"/>
              </w:rPr>
            </w:pPr>
            <w:r>
              <w:rPr>
                <w:noProof/>
              </w:rPr>
              <w:lastRenderedPageBreak/>
              <w:drawing>
                <wp:inline distT="0" distB="0" distL="0" distR="0" wp14:anchorId="7EBFE7B1" wp14:editId="30EC6B46">
                  <wp:extent cx="6168684" cy="466661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6207766" cy="4696180"/>
                          </a:xfrm>
                          <a:prstGeom prst="rect">
                            <a:avLst/>
                          </a:prstGeom>
                        </pic:spPr>
                      </pic:pic>
                    </a:graphicData>
                  </a:graphic>
                </wp:inline>
              </w:drawing>
            </w:r>
          </w:p>
        </w:tc>
      </w:tr>
    </w:tbl>
    <w:p w14:paraId="55B3B63E" w14:textId="531981D8" w:rsidR="008C12C3" w:rsidRPr="00CD3D9C" w:rsidRDefault="008C12C3">
      <w:pPr>
        <w:spacing w:after="160" w:line="259" w:lineRule="auto"/>
        <w:rPr>
          <w:b/>
          <w:bCs/>
          <w:color w:val="000000" w:themeColor="text1"/>
          <w:szCs w:val="20"/>
        </w:rPr>
      </w:pPr>
    </w:p>
    <w:p w14:paraId="6BF83790" w14:textId="084EE4FF" w:rsidR="0057528B" w:rsidRPr="00CD3D9C" w:rsidRDefault="00A81385" w:rsidP="001134F6">
      <w:pPr>
        <w:rPr>
          <w:b/>
          <w:bCs/>
          <w:color w:val="000000" w:themeColor="text1"/>
          <w:szCs w:val="20"/>
        </w:rPr>
      </w:pPr>
      <w:r w:rsidRPr="00CD3D9C">
        <w:rPr>
          <w:b/>
          <w:bCs/>
          <w:color w:val="000000" w:themeColor="text1"/>
          <w:szCs w:val="20"/>
        </w:rPr>
        <w:t>2</w:t>
      </w:r>
      <w:r w:rsidR="0057528B" w:rsidRPr="00CD3D9C">
        <w:rPr>
          <w:b/>
          <w:bCs/>
          <w:color w:val="000000" w:themeColor="text1"/>
          <w:szCs w:val="20"/>
        </w:rPr>
        <w:t>.</w:t>
      </w:r>
      <w:r w:rsidR="00E37CB4" w:rsidRPr="00CD3D9C">
        <w:rPr>
          <w:b/>
          <w:bCs/>
          <w:color w:val="000000" w:themeColor="text1"/>
          <w:szCs w:val="20"/>
        </w:rPr>
        <w:t>3</w:t>
      </w:r>
      <w:r w:rsidR="0057528B" w:rsidRPr="00CD3D9C">
        <w:rPr>
          <w:b/>
          <w:bCs/>
          <w:color w:val="000000" w:themeColor="text1"/>
          <w:szCs w:val="20"/>
        </w:rPr>
        <w:t xml:space="preserve"> Expected results </w:t>
      </w:r>
      <w:r w:rsidR="004C32CB" w:rsidRPr="00CD3D9C">
        <w:rPr>
          <w:b/>
          <w:bCs/>
          <w:color w:val="000000" w:themeColor="text1"/>
          <w:szCs w:val="20"/>
        </w:rPr>
        <w:t>by outcome and outputs</w:t>
      </w:r>
    </w:p>
    <w:p w14:paraId="310AC413" w14:textId="77777777" w:rsidR="00D5226A" w:rsidRPr="00CD3D9C" w:rsidRDefault="00D5226A" w:rsidP="00E40516">
      <w:pPr>
        <w:rPr>
          <w:i/>
          <w:color w:val="C45911" w:themeColor="accent2" w:themeShade="BF"/>
          <w:szCs w:val="20"/>
        </w:rPr>
      </w:pPr>
    </w:p>
    <w:p w14:paraId="588F2F7B" w14:textId="511876E3" w:rsidR="0043626B" w:rsidRDefault="3CC139E5" w:rsidP="66A1DF9F">
      <w:pPr>
        <w:pStyle w:val="paragraph"/>
        <w:spacing w:before="0" w:beforeAutospacing="0" w:after="0" w:afterAutospacing="0"/>
        <w:textAlignment w:val="baseline"/>
        <w:rPr>
          <w:rFonts w:ascii="Segoe UI" w:hAnsi="Segoe UI" w:cs="Segoe UI"/>
          <w:sz w:val="18"/>
          <w:szCs w:val="18"/>
        </w:rPr>
      </w:pPr>
      <w:bookmarkStart w:id="18" w:name="_Hlk34832485"/>
      <w:r w:rsidRPr="66A1DF9F">
        <w:rPr>
          <w:rStyle w:val="normaltextrun"/>
          <w:rFonts w:ascii="Verdana" w:hAnsi="Verdana" w:cs="Segoe UI"/>
          <w:b/>
          <w:bCs/>
          <w:sz w:val="20"/>
          <w:szCs w:val="20"/>
        </w:rPr>
        <w:t xml:space="preserve">Outcome 1: </w:t>
      </w:r>
      <w:r w:rsidR="0B15E1F5" w:rsidRPr="66A1DF9F">
        <w:rPr>
          <w:rStyle w:val="normaltextrun"/>
          <w:rFonts w:ascii="Verdana" w:hAnsi="Verdana" w:cs="Segoe UI"/>
          <w:b/>
          <w:bCs/>
          <w:sz w:val="20"/>
          <w:szCs w:val="20"/>
        </w:rPr>
        <w:t>Stock taking of the o</w:t>
      </w:r>
      <w:r w:rsidR="1C70BA78" w:rsidRPr="66A1DF9F">
        <w:rPr>
          <w:rStyle w:val="normaltextrun"/>
          <w:rFonts w:ascii="Verdana" w:hAnsi="Verdana" w:cs="Segoe UI"/>
          <w:b/>
          <w:bCs/>
          <w:sz w:val="20"/>
          <w:szCs w:val="20"/>
        </w:rPr>
        <w:t>verall landscape and trends</w:t>
      </w:r>
      <w:r w:rsidR="3ED615E4" w:rsidRPr="66A1DF9F">
        <w:rPr>
          <w:rStyle w:val="normaltextrun"/>
          <w:rFonts w:ascii="Verdana" w:hAnsi="Verdana" w:cs="Segoe UI"/>
          <w:b/>
          <w:bCs/>
          <w:sz w:val="20"/>
          <w:szCs w:val="20"/>
        </w:rPr>
        <w:t xml:space="preserve"> </w:t>
      </w:r>
      <w:r w:rsidR="1C70BA78" w:rsidRPr="66A1DF9F">
        <w:rPr>
          <w:rStyle w:val="normaltextrun"/>
          <w:rFonts w:ascii="Verdana" w:hAnsi="Verdana" w:cs="Segoe UI"/>
          <w:b/>
          <w:bCs/>
          <w:sz w:val="20"/>
          <w:szCs w:val="20"/>
        </w:rPr>
        <w:t>in SDG financing</w:t>
      </w:r>
      <w:r w:rsidRPr="66A1DF9F">
        <w:rPr>
          <w:rStyle w:val="normaltextrun"/>
          <w:rFonts w:ascii="Verdana" w:hAnsi="Verdana" w:cs="Segoe UI"/>
          <w:b/>
          <w:bCs/>
          <w:sz w:val="20"/>
          <w:szCs w:val="20"/>
        </w:rPr>
        <w:t xml:space="preserve"> in the aftermath of the COVID-19 crisis identified including long-term investments required for climate action, equitable and gender responsive social service provision.</w:t>
      </w:r>
      <w:r w:rsidRPr="66A1DF9F">
        <w:rPr>
          <w:rStyle w:val="eop"/>
          <w:rFonts w:ascii="Verdana" w:eastAsia="Calibri" w:hAnsi="Verdana" w:cs="Segoe UI"/>
        </w:rPr>
        <w:t> </w:t>
      </w:r>
    </w:p>
    <w:p w14:paraId="081D553B" w14:textId="77777777" w:rsidR="0043626B" w:rsidRDefault="0043626B" w:rsidP="0043626B">
      <w:pPr>
        <w:pStyle w:val="paragraph"/>
        <w:spacing w:before="0" w:beforeAutospacing="0" w:after="0" w:afterAutospacing="0"/>
        <w:textAlignment w:val="baseline"/>
        <w:rPr>
          <w:rFonts w:ascii="Segoe UI" w:hAnsi="Segoe UI" w:cs="Segoe UI"/>
          <w:sz w:val="18"/>
          <w:szCs w:val="18"/>
        </w:rPr>
      </w:pPr>
      <w:r>
        <w:rPr>
          <w:rStyle w:val="eop"/>
          <w:rFonts w:ascii="Verdana" w:eastAsia="Calibri" w:hAnsi="Verdana" w:cs="Segoe UI"/>
        </w:rPr>
        <w:t> </w:t>
      </w:r>
    </w:p>
    <w:p w14:paraId="685B8036" w14:textId="77777777" w:rsidR="0043626B" w:rsidRDefault="0043626B" w:rsidP="0043626B">
      <w:pPr>
        <w:pStyle w:val="paragraph"/>
        <w:spacing w:before="0" w:beforeAutospacing="0" w:after="0" w:afterAutospacing="0"/>
        <w:textAlignment w:val="baseline"/>
        <w:rPr>
          <w:rFonts w:ascii="Segoe UI" w:hAnsi="Segoe UI" w:cs="Segoe UI"/>
          <w:sz w:val="18"/>
          <w:szCs w:val="18"/>
        </w:rPr>
      </w:pPr>
      <w:r>
        <w:rPr>
          <w:rStyle w:val="eop"/>
          <w:rFonts w:ascii="Verdana" w:eastAsia="Calibri" w:hAnsi="Verdana" w:cs="Segoe UI"/>
        </w:rPr>
        <w:t> </w:t>
      </w:r>
    </w:p>
    <w:p w14:paraId="1ECE6E7C" w14:textId="77777777" w:rsidR="00EA153B" w:rsidRDefault="3CC139E5" w:rsidP="66A1DF9F">
      <w:pPr>
        <w:pStyle w:val="paragraph"/>
        <w:spacing w:before="0" w:beforeAutospacing="0" w:after="0" w:afterAutospacing="0"/>
        <w:textAlignment w:val="baseline"/>
        <w:rPr>
          <w:rStyle w:val="normaltextrun"/>
          <w:rFonts w:ascii="Verdana" w:hAnsi="Verdana" w:cs="Segoe UI"/>
          <w:sz w:val="20"/>
          <w:szCs w:val="20"/>
        </w:rPr>
      </w:pPr>
      <w:r w:rsidRPr="66A1DF9F">
        <w:rPr>
          <w:rStyle w:val="normaltextrun"/>
          <w:rFonts w:ascii="Verdana" w:hAnsi="Verdana" w:cs="Segoe UI"/>
          <w:sz w:val="20"/>
          <w:szCs w:val="20"/>
        </w:rPr>
        <w:t>Output 1.1 </w:t>
      </w:r>
      <w:r w:rsidR="13344EF1" w:rsidRPr="66A1DF9F">
        <w:rPr>
          <w:rStyle w:val="normaltextrun"/>
          <w:rFonts w:ascii="Verdana" w:hAnsi="Verdana" w:cs="Segoe UI"/>
          <w:sz w:val="20"/>
          <w:szCs w:val="20"/>
        </w:rPr>
        <w:t>Rapid stock taking of financing landscape and trends in SDG financing and climate finance needs</w:t>
      </w:r>
      <w:r w:rsidR="66082C0A" w:rsidRPr="66A1DF9F">
        <w:rPr>
          <w:rStyle w:val="normaltextrun"/>
          <w:rFonts w:ascii="Verdana" w:hAnsi="Verdana" w:cs="Segoe UI"/>
          <w:sz w:val="20"/>
          <w:szCs w:val="20"/>
        </w:rPr>
        <w:t xml:space="preserve"> </w:t>
      </w:r>
      <w:r w:rsidRPr="66A1DF9F">
        <w:rPr>
          <w:rStyle w:val="normaltextrun"/>
          <w:rFonts w:ascii="Verdana" w:hAnsi="Verdana" w:cs="Segoe UI"/>
          <w:sz w:val="20"/>
          <w:szCs w:val="20"/>
        </w:rPr>
        <w:t>taking into account the impact of the ongoing Covid-19 pandemic.  </w:t>
      </w:r>
    </w:p>
    <w:p w14:paraId="19529846" w14:textId="1D674BAA" w:rsidR="0043626B" w:rsidRDefault="3CC139E5" w:rsidP="66A1DF9F">
      <w:pPr>
        <w:pStyle w:val="paragraph"/>
        <w:spacing w:before="0" w:beforeAutospacing="0" w:after="0" w:afterAutospacing="0"/>
        <w:textAlignment w:val="baseline"/>
        <w:rPr>
          <w:rFonts w:ascii="Segoe UI" w:hAnsi="Segoe UI" w:cs="Segoe UI"/>
          <w:sz w:val="18"/>
          <w:szCs w:val="18"/>
        </w:rPr>
      </w:pPr>
      <w:r w:rsidRPr="66A1DF9F">
        <w:rPr>
          <w:rStyle w:val="eop"/>
          <w:rFonts w:ascii="Verdana" w:eastAsia="Calibri" w:hAnsi="Verdana" w:cs="Segoe UI"/>
        </w:rPr>
        <w:t> </w:t>
      </w:r>
    </w:p>
    <w:p w14:paraId="10A86430" w14:textId="77777777" w:rsidR="0043626B" w:rsidRDefault="0043626B" w:rsidP="0043626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Output 1.2 In-depth gender responsive costing of social sector reforms completed for achieving quality, equity and sustainability in services including the impact for men and women.</w:t>
      </w:r>
      <w:r>
        <w:rPr>
          <w:rStyle w:val="eop"/>
          <w:rFonts w:ascii="Verdana" w:eastAsia="Calibri" w:hAnsi="Verdana" w:cs="Segoe UI"/>
        </w:rPr>
        <w:t> </w:t>
      </w:r>
    </w:p>
    <w:p w14:paraId="2718461A" w14:textId="77777777" w:rsidR="0043626B" w:rsidRDefault="0043626B" w:rsidP="0043626B">
      <w:pPr>
        <w:pStyle w:val="paragraph"/>
        <w:spacing w:before="0" w:beforeAutospacing="0" w:after="0" w:afterAutospacing="0"/>
        <w:textAlignment w:val="baseline"/>
        <w:rPr>
          <w:rFonts w:ascii="Segoe UI" w:hAnsi="Segoe UI" w:cs="Segoe UI"/>
          <w:sz w:val="18"/>
          <w:szCs w:val="18"/>
        </w:rPr>
      </w:pPr>
      <w:r>
        <w:rPr>
          <w:rStyle w:val="eop"/>
          <w:rFonts w:ascii="Verdana" w:eastAsia="Calibri" w:hAnsi="Verdana" w:cs="Segoe UI"/>
          <w:color w:val="2F5496"/>
        </w:rPr>
        <w:t> </w:t>
      </w:r>
    </w:p>
    <w:p w14:paraId="33090566" w14:textId="3F38B59F" w:rsidR="00BF7CCB" w:rsidRDefault="3CC139E5" w:rsidP="66A1DF9F">
      <w:pPr>
        <w:pStyle w:val="paragraph"/>
        <w:spacing w:before="0" w:beforeAutospacing="0" w:after="0" w:afterAutospacing="0"/>
        <w:textAlignment w:val="baseline"/>
        <w:rPr>
          <w:rStyle w:val="normaltextrun"/>
          <w:rFonts w:ascii="Verdana" w:hAnsi="Verdana" w:cs="Segoe UI"/>
          <w:sz w:val="20"/>
          <w:szCs w:val="20"/>
        </w:rPr>
      </w:pPr>
      <w:r w:rsidRPr="66A1DF9F">
        <w:rPr>
          <w:rStyle w:val="normaltextrun"/>
          <w:rFonts w:ascii="Verdana" w:hAnsi="Verdana" w:cs="Segoe UI"/>
          <w:sz w:val="20"/>
          <w:szCs w:val="20"/>
        </w:rPr>
        <w:t>Output 1.</w:t>
      </w:r>
      <w:r w:rsidR="00672B29">
        <w:rPr>
          <w:rStyle w:val="normaltextrun"/>
          <w:rFonts w:ascii="Verdana" w:hAnsi="Verdana" w:cs="Segoe UI"/>
          <w:sz w:val="20"/>
          <w:szCs w:val="20"/>
        </w:rPr>
        <w:t>1</w:t>
      </w:r>
      <w:r w:rsidRPr="66A1DF9F">
        <w:rPr>
          <w:rStyle w:val="normaltextrun"/>
          <w:rFonts w:ascii="Verdana" w:hAnsi="Verdana" w:cs="Segoe UI"/>
          <w:sz w:val="20"/>
          <w:szCs w:val="20"/>
        </w:rPr>
        <w:t> </w:t>
      </w:r>
      <w:r w:rsidR="520EED25" w:rsidRPr="66A1DF9F">
        <w:rPr>
          <w:rStyle w:val="normaltextrun"/>
          <w:rFonts w:ascii="Verdana" w:hAnsi="Verdana" w:cs="Segoe UI"/>
          <w:sz w:val="20"/>
          <w:szCs w:val="20"/>
        </w:rPr>
        <w:t xml:space="preserve">Seeks to estimate the climate financing gap and needs in achieving SDGs. </w:t>
      </w:r>
      <w:r w:rsidR="4F3FE4C9" w:rsidRPr="66A1DF9F">
        <w:rPr>
          <w:rStyle w:val="normaltextrun"/>
          <w:rFonts w:ascii="Verdana" w:hAnsi="Verdana" w:cs="Segoe UI"/>
          <w:sz w:val="20"/>
          <w:szCs w:val="20"/>
        </w:rPr>
        <w:t>A r</w:t>
      </w:r>
      <w:r w:rsidR="520EED25" w:rsidRPr="66A1DF9F">
        <w:rPr>
          <w:rStyle w:val="normaltextrun"/>
          <w:rFonts w:ascii="Verdana" w:hAnsi="Verdana" w:cs="Segoe UI"/>
          <w:sz w:val="20"/>
          <w:szCs w:val="20"/>
        </w:rPr>
        <w:t>apid stock taking of sectoral costing through the DFA exercise</w:t>
      </w:r>
      <w:r w:rsidR="44EFFAA2" w:rsidRPr="66A1DF9F">
        <w:rPr>
          <w:rStyle w:val="normaltextrun"/>
          <w:rFonts w:ascii="Verdana" w:hAnsi="Verdana" w:cs="Segoe UI"/>
          <w:sz w:val="20"/>
          <w:szCs w:val="20"/>
        </w:rPr>
        <w:t xml:space="preserve"> will be conducted. </w:t>
      </w:r>
      <w:r w:rsidR="523501DA" w:rsidRPr="66A1DF9F">
        <w:rPr>
          <w:rStyle w:val="normaltextrun"/>
          <w:rFonts w:ascii="Verdana" w:hAnsi="Verdana" w:cs="Segoe UI"/>
          <w:sz w:val="20"/>
          <w:szCs w:val="20"/>
        </w:rPr>
        <w:t>The DFA will conduct a rapid stock taking of existing financial landscape and trends and identify the recommendations for the INFF roadmap</w:t>
      </w:r>
      <w:r w:rsidR="3321955C" w:rsidRPr="66A1DF9F">
        <w:rPr>
          <w:rStyle w:val="normaltextrun"/>
          <w:rFonts w:ascii="Verdana" w:hAnsi="Verdana" w:cs="Segoe UI"/>
          <w:sz w:val="20"/>
          <w:szCs w:val="20"/>
        </w:rPr>
        <w:t>. Further, t</w:t>
      </w:r>
      <w:r w:rsidR="520EED25" w:rsidRPr="66A1DF9F">
        <w:rPr>
          <w:rStyle w:val="normaltextrun"/>
          <w:rFonts w:ascii="Verdana" w:hAnsi="Verdana" w:cs="Segoe UI"/>
          <w:sz w:val="20"/>
          <w:szCs w:val="20"/>
        </w:rPr>
        <w:t xml:space="preserve">he </w:t>
      </w:r>
      <w:r w:rsidR="521880B1" w:rsidRPr="66A1DF9F">
        <w:rPr>
          <w:rStyle w:val="normaltextrun"/>
          <w:rFonts w:ascii="Verdana" w:hAnsi="Verdana" w:cs="Segoe UI"/>
          <w:sz w:val="20"/>
          <w:szCs w:val="20"/>
        </w:rPr>
        <w:t xml:space="preserve">DFA will be </w:t>
      </w:r>
      <w:r w:rsidR="520EED25" w:rsidRPr="66A1DF9F">
        <w:rPr>
          <w:rStyle w:val="normaltextrun"/>
          <w:rFonts w:ascii="Verdana" w:hAnsi="Verdana" w:cs="Segoe UI"/>
          <w:sz w:val="20"/>
          <w:szCs w:val="20"/>
        </w:rPr>
        <w:t>primar</w:t>
      </w:r>
      <w:r w:rsidR="521880B1" w:rsidRPr="66A1DF9F">
        <w:rPr>
          <w:rStyle w:val="normaltextrun"/>
          <w:rFonts w:ascii="Verdana" w:hAnsi="Verdana" w:cs="Segoe UI"/>
          <w:sz w:val="20"/>
          <w:szCs w:val="20"/>
        </w:rPr>
        <w:t>il</w:t>
      </w:r>
      <w:r w:rsidR="520EED25" w:rsidRPr="66A1DF9F">
        <w:rPr>
          <w:rStyle w:val="normaltextrun"/>
          <w:rFonts w:ascii="Verdana" w:hAnsi="Verdana" w:cs="Segoe UI"/>
          <w:sz w:val="20"/>
          <w:szCs w:val="20"/>
        </w:rPr>
        <w:t>y focus</w:t>
      </w:r>
      <w:r w:rsidR="521880B1" w:rsidRPr="66A1DF9F">
        <w:rPr>
          <w:rStyle w:val="normaltextrun"/>
          <w:rFonts w:ascii="Verdana" w:hAnsi="Verdana" w:cs="Segoe UI"/>
          <w:sz w:val="20"/>
          <w:szCs w:val="20"/>
        </w:rPr>
        <w:t>ed</w:t>
      </w:r>
      <w:r w:rsidR="520EED25" w:rsidRPr="66A1DF9F">
        <w:rPr>
          <w:rStyle w:val="normaltextrun"/>
          <w:rFonts w:ascii="Verdana" w:hAnsi="Verdana" w:cs="Segoe UI"/>
          <w:sz w:val="20"/>
          <w:szCs w:val="20"/>
        </w:rPr>
        <w:t xml:space="preserve"> on </w:t>
      </w:r>
      <w:r w:rsidR="520EED25" w:rsidRPr="66A1DF9F">
        <w:rPr>
          <w:rStyle w:val="normaltextrun"/>
          <w:rFonts w:ascii="Verdana" w:hAnsi="Verdana" w:cs="Segoe UI"/>
          <w:sz w:val="20"/>
          <w:szCs w:val="20"/>
        </w:rPr>
        <w:lastRenderedPageBreak/>
        <w:t xml:space="preserve">climate financing where </w:t>
      </w:r>
      <w:r w:rsidR="00A75309">
        <w:rPr>
          <w:rStyle w:val="normaltextrun"/>
          <w:rFonts w:ascii="Verdana" w:hAnsi="Verdana" w:cs="Segoe UI"/>
          <w:sz w:val="20"/>
          <w:szCs w:val="20"/>
        </w:rPr>
        <w:t xml:space="preserve">an overall </w:t>
      </w:r>
      <w:r w:rsidR="520EED25" w:rsidRPr="66A1DF9F">
        <w:rPr>
          <w:rStyle w:val="normaltextrun"/>
          <w:rFonts w:ascii="Verdana" w:hAnsi="Verdana" w:cs="Segoe UI"/>
          <w:sz w:val="20"/>
          <w:szCs w:val="20"/>
        </w:rPr>
        <w:t>climate financing needs and gaps required to achieve the SDGs and other international and national commitments</w:t>
      </w:r>
      <w:r w:rsidR="5E2291D6" w:rsidRPr="66A1DF9F">
        <w:rPr>
          <w:rStyle w:val="normaltextrun"/>
          <w:rFonts w:ascii="Verdana" w:hAnsi="Verdana" w:cs="Segoe UI"/>
          <w:sz w:val="20"/>
          <w:szCs w:val="20"/>
        </w:rPr>
        <w:t xml:space="preserve"> will be</w:t>
      </w:r>
      <w:r w:rsidR="520EED25" w:rsidRPr="66A1DF9F">
        <w:rPr>
          <w:rStyle w:val="normaltextrun"/>
          <w:rFonts w:ascii="Verdana" w:hAnsi="Verdana" w:cs="Segoe UI"/>
          <w:sz w:val="20"/>
          <w:szCs w:val="20"/>
        </w:rPr>
        <w:t xml:space="preserve"> identified</w:t>
      </w:r>
      <w:r w:rsidR="343A5C26" w:rsidRPr="66A1DF9F">
        <w:rPr>
          <w:rStyle w:val="normaltextrun"/>
          <w:rFonts w:ascii="Verdana" w:hAnsi="Verdana" w:cs="Segoe UI"/>
          <w:sz w:val="20"/>
          <w:szCs w:val="20"/>
        </w:rPr>
        <w:t>.</w:t>
      </w:r>
      <w:r w:rsidR="3321955C" w:rsidRPr="66A1DF9F">
        <w:rPr>
          <w:rStyle w:val="normaltextrun"/>
          <w:rFonts w:ascii="Verdana" w:hAnsi="Verdana" w:cs="Segoe UI"/>
          <w:sz w:val="20"/>
          <w:szCs w:val="20"/>
        </w:rPr>
        <w:t xml:space="preserve"> </w:t>
      </w:r>
      <w:r w:rsidR="4FDA7E1F" w:rsidRPr="66A1DF9F">
        <w:rPr>
          <w:rStyle w:val="normaltextrun"/>
          <w:rFonts w:ascii="Verdana" w:hAnsi="Verdana" w:cs="Segoe UI"/>
          <w:sz w:val="20"/>
          <w:szCs w:val="20"/>
        </w:rPr>
        <w:t>The key findings, financ</w:t>
      </w:r>
      <w:r w:rsidR="20EC7288" w:rsidRPr="66A1DF9F">
        <w:rPr>
          <w:rStyle w:val="normaltextrun"/>
          <w:rFonts w:ascii="Verdana" w:hAnsi="Verdana" w:cs="Segoe UI"/>
          <w:sz w:val="20"/>
          <w:szCs w:val="20"/>
        </w:rPr>
        <w:t>ing needs</w:t>
      </w:r>
      <w:r w:rsidR="4FDA7E1F" w:rsidRPr="66A1DF9F">
        <w:rPr>
          <w:rStyle w:val="normaltextrun"/>
          <w:rFonts w:ascii="Verdana" w:hAnsi="Verdana" w:cs="Segoe UI"/>
          <w:sz w:val="20"/>
          <w:szCs w:val="20"/>
        </w:rPr>
        <w:t xml:space="preserve"> estimates and the </w:t>
      </w:r>
      <w:r w:rsidR="6BAB15E8" w:rsidRPr="66A1DF9F">
        <w:rPr>
          <w:rStyle w:val="normaltextrun"/>
          <w:rFonts w:ascii="Verdana" w:hAnsi="Verdana" w:cs="Segoe UI"/>
          <w:sz w:val="20"/>
          <w:szCs w:val="20"/>
        </w:rPr>
        <w:t xml:space="preserve">recommendations for </w:t>
      </w:r>
      <w:r w:rsidR="5A45115B" w:rsidRPr="66A1DF9F">
        <w:rPr>
          <w:rStyle w:val="normaltextrun"/>
          <w:rFonts w:ascii="Verdana" w:hAnsi="Verdana" w:cs="Segoe UI"/>
          <w:sz w:val="20"/>
          <w:szCs w:val="20"/>
        </w:rPr>
        <w:t xml:space="preserve">enhancing the SDG financing </w:t>
      </w:r>
      <w:r w:rsidR="5D0BB973" w:rsidRPr="66A1DF9F">
        <w:rPr>
          <w:rStyle w:val="normaltextrun"/>
          <w:rFonts w:ascii="Verdana" w:hAnsi="Verdana" w:cs="Segoe UI"/>
          <w:sz w:val="20"/>
          <w:szCs w:val="20"/>
        </w:rPr>
        <w:t>will be the highlights of the published DFA.</w:t>
      </w:r>
      <w:r w:rsidR="6BAB15E8" w:rsidRPr="66A1DF9F">
        <w:rPr>
          <w:rStyle w:val="normaltextrun"/>
          <w:rFonts w:ascii="Verdana" w:hAnsi="Verdana" w:cs="Segoe UI"/>
          <w:sz w:val="20"/>
          <w:szCs w:val="20"/>
        </w:rPr>
        <w:t xml:space="preserve"> </w:t>
      </w:r>
      <w:r w:rsidR="2E951A79" w:rsidRPr="66A1DF9F">
        <w:rPr>
          <w:rStyle w:val="normaltextrun"/>
          <w:rFonts w:ascii="Verdana" w:hAnsi="Verdana" w:cs="Segoe UI"/>
          <w:sz w:val="20"/>
          <w:szCs w:val="20"/>
        </w:rPr>
        <w:t xml:space="preserve">These recommendations will be accounted for in formulating the </w:t>
      </w:r>
      <w:r w:rsidR="343A5C26" w:rsidRPr="66A1DF9F">
        <w:rPr>
          <w:rStyle w:val="normaltextrun"/>
          <w:rFonts w:ascii="Verdana" w:hAnsi="Verdana" w:cs="Segoe UI"/>
          <w:sz w:val="20"/>
          <w:szCs w:val="20"/>
        </w:rPr>
        <w:t>INFF roadmap</w:t>
      </w:r>
      <w:r w:rsidR="40EEA1DC" w:rsidRPr="66A1DF9F">
        <w:rPr>
          <w:rStyle w:val="normaltextrun"/>
          <w:rFonts w:ascii="Verdana" w:hAnsi="Verdana" w:cs="Segoe UI"/>
          <w:sz w:val="20"/>
          <w:szCs w:val="20"/>
        </w:rPr>
        <w:t xml:space="preserve"> to operationalize the INFF</w:t>
      </w:r>
      <w:r w:rsidR="476D9C9F" w:rsidRPr="66A1DF9F">
        <w:rPr>
          <w:rStyle w:val="normaltextrun"/>
          <w:rFonts w:ascii="Verdana" w:hAnsi="Verdana" w:cs="Segoe UI"/>
          <w:sz w:val="20"/>
          <w:szCs w:val="20"/>
        </w:rPr>
        <w:t>, which will subsequently translate in</w:t>
      </w:r>
      <w:r w:rsidR="33C53393" w:rsidRPr="66A1DF9F">
        <w:rPr>
          <w:rStyle w:val="normaltextrun"/>
          <w:rFonts w:ascii="Verdana" w:hAnsi="Verdana" w:cs="Segoe UI"/>
          <w:sz w:val="20"/>
          <w:szCs w:val="20"/>
        </w:rPr>
        <w:t xml:space="preserve">to </w:t>
      </w:r>
      <w:r w:rsidR="476D9C9F" w:rsidRPr="66A1DF9F">
        <w:rPr>
          <w:rStyle w:val="normaltextrun"/>
          <w:rFonts w:ascii="Verdana" w:hAnsi="Verdana" w:cs="Segoe UI"/>
          <w:sz w:val="20"/>
          <w:szCs w:val="20"/>
        </w:rPr>
        <w:t xml:space="preserve">the </w:t>
      </w:r>
      <w:r w:rsidR="40EEA1DC" w:rsidRPr="66A1DF9F">
        <w:rPr>
          <w:rStyle w:val="normaltextrun"/>
          <w:rFonts w:ascii="Verdana" w:hAnsi="Verdana" w:cs="Segoe UI"/>
          <w:sz w:val="20"/>
          <w:szCs w:val="20"/>
        </w:rPr>
        <w:t xml:space="preserve">Financing Strategy. </w:t>
      </w:r>
      <w:r w:rsidR="335AB818" w:rsidRPr="66A1DF9F">
        <w:rPr>
          <w:rStyle w:val="normaltextrun"/>
          <w:rFonts w:ascii="Verdana" w:hAnsi="Verdana" w:cs="Segoe UI"/>
          <w:sz w:val="20"/>
          <w:szCs w:val="20"/>
        </w:rPr>
        <w:t>UNDP will implement this output.</w:t>
      </w:r>
    </w:p>
    <w:p w14:paraId="17CC0345" w14:textId="77777777" w:rsidR="00BF7CCB" w:rsidRDefault="00BF7CCB" w:rsidP="66A1DF9F">
      <w:pPr>
        <w:pStyle w:val="paragraph"/>
        <w:spacing w:before="0" w:beforeAutospacing="0" w:after="0" w:afterAutospacing="0"/>
        <w:textAlignment w:val="baseline"/>
        <w:rPr>
          <w:rStyle w:val="normaltextrun"/>
          <w:rFonts w:ascii="Verdana" w:hAnsi="Verdana" w:cs="Segoe UI"/>
          <w:sz w:val="20"/>
          <w:szCs w:val="20"/>
        </w:rPr>
      </w:pPr>
    </w:p>
    <w:p w14:paraId="694623EB" w14:textId="187E45F7" w:rsidR="0043626B" w:rsidRDefault="00DA024E" w:rsidP="66A1DF9F">
      <w:pPr>
        <w:pStyle w:val="paragraph"/>
        <w:spacing w:before="0" w:beforeAutospacing="0" w:after="0" w:afterAutospacing="0"/>
        <w:textAlignment w:val="baseline"/>
        <w:rPr>
          <w:rStyle w:val="eop"/>
          <w:rFonts w:ascii="Verdana" w:eastAsia="Calibri" w:hAnsi="Verdana" w:cs="Segoe UI"/>
        </w:rPr>
      </w:pPr>
      <w:r>
        <w:rPr>
          <w:rStyle w:val="normaltextrun"/>
          <w:rFonts w:ascii="Verdana" w:hAnsi="Verdana"/>
          <w:sz w:val="20"/>
          <w:szCs w:val="20"/>
          <w:shd w:val="clear" w:color="auto" w:fill="FFFFFF"/>
        </w:rPr>
        <w:t>Output 1.2 aims to conduct costing to estimate the specific financing needed for institutional service delivery reforms to improve quality and equity in delivering education, health, gender, family and child protection and social welfare services (SDGs 2, 3, 4, 5, 7, 10). The Ministry of Finance jointly with the World Bank is planning a Performance Expenditure Review (PER) to assess efficiency gains in the social service sector spending, UNICEF will provide technical advice to this exercise. This activity will shape evidence-based resource allocation and redistribution to address existing inequalities (spatial, age, gender, nationality). The costing of the social sector will include costing of gender and other social sector targets in the SAP and the various policies and plans articulated to implement the existing laws such as the Gender Equality Law, the Domestic Violence Act and investments needed for mainstreaming and collecting gender-based statistics. The social sector costing exercise will integrate a human capital development needs assessment with the aim of reducing reliance on foreign labour with a trained Maldivian workforce that increases the role of the Maldivian women, young men and young women in social sector service delivery. This output will be delivered jointly by UNICEF, WHO and UNFPA applying Agency comparative advantages. UNICEF will focus on the overall social sector costing exercise and investment plan development while WHO will focus on health sector related costing. UNFPA will support the application of a human capital development and gender lens to the costing methodology. </w:t>
      </w:r>
      <w:r>
        <w:rPr>
          <w:rStyle w:val="eop"/>
          <w:rFonts w:ascii="Verdana" w:hAnsi="Verdana"/>
          <w:sz w:val="20"/>
          <w:szCs w:val="20"/>
          <w:shd w:val="clear" w:color="auto" w:fill="FFFFFF"/>
        </w:rPr>
        <w:t> </w:t>
      </w:r>
    </w:p>
    <w:bookmarkEnd w:id="18"/>
    <w:p w14:paraId="2FDF03C1" w14:textId="54832FD3" w:rsidR="00F50BC6" w:rsidRPr="00CD3D9C" w:rsidRDefault="00F972BC" w:rsidP="00EC682C">
      <w:pPr>
        <w:rPr>
          <w:szCs w:val="20"/>
        </w:rPr>
      </w:pPr>
      <w:r w:rsidRPr="00CD3D9C">
        <w:rPr>
          <w:szCs w:val="20"/>
        </w:rPr>
        <w:t xml:space="preserve"> </w:t>
      </w:r>
    </w:p>
    <w:p w14:paraId="5D308BA9" w14:textId="048F160E" w:rsidR="007646EE" w:rsidRPr="00CD3D9C" w:rsidRDefault="007646EE" w:rsidP="00EC682C">
      <w:pPr>
        <w:rPr>
          <w:szCs w:val="20"/>
        </w:rPr>
      </w:pPr>
    </w:p>
    <w:p w14:paraId="48929587" w14:textId="52233CF1" w:rsidR="0012551F" w:rsidRPr="00CD3D9C" w:rsidRDefault="00A522D3" w:rsidP="00EC682C">
      <w:pPr>
        <w:rPr>
          <w:b/>
          <w:bCs/>
          <w:szCs w:val="20"/>
        </w:rPr>
      </w:pPr>
      <w:bookmarkStart w:id="19" w:name="_Hlk34832501"/>
      <w:r w:rsidRPr="00CD3D9C">
        <w:rPr>
          <w:b/>
          <w:bCs/>
          <w:szCs w:val="20"/>
        </w:rPr>
        <w:t>Outcome 2</w:t>
      </w:r>
      <w:r w:rsidR="000023E0">
        <w:rPr>
          <w:b/>
          <w:bCs/>
          <w:szCs w:val="20"/>
        </w:rPr>
        <w:t>:</w:t>
      </w:r>
      <w:r w:rsidRPr="00CD3D9C">
        <w:rPr>
          <w:b/>
          <w:bCs/>
          <w:szCs w:val="20"/>
        </w:rPr>
        <w:t xml:space="preserve"> </w:t>
      </w:r>
      <w:r w:rsidR="00987D92" w:rsidRPr="00CD3D9C">
        <w:rPr>
          <w:b/>
          <w:bCs/>
          <w:color w:val="000000" w:themeColor="text1"/>
          <w:szCs w:val="20"/>
        </w:rPr>
        <w:t xml:space="preserve">National Integrated Financing Strategy </w:t>
      </w:r>
      <w:r w:rsidRPr="00CD3D9C">
        <w:rPr>
          <w:b/>
          <w:bCs/>
          <w:szCs w:val="20"/>
        </w:rPr>
        <w:t>is developed and operationalized</w:t>
      </w:r>
    </w:p>
    <w:p w14:paraId="30BA91C2" w14:textId="6A7F20AF" w:rsidR="00A522D3" w:rsidRPr="00CD3D9C" w:rsidRDefault="00A522D3" w:rsidP="00EC682C">
      <w:pPr>
        <w:rPr>
          <w:szCs w:val="20"/>
        </w:rPr>
      </w:pPr>
      <w:r w:rsidRPr="00CD3D9C">
        <w:rPr>
          <w:szCs w:val="20"/>
        </w:rPr>
        <w:t xml:space="preserve">Output 2.1 A </w:t>
      </w:r>
      <w:bookmarkStart w:id="20" w:name="_Hlk34223649"/>
      <w:r w:rsidR="001621D5" w:rsidRPr="001621D5">
        <w:rPr>
          <w:rFonts w:eastAsia="Times New Roman"/>
          <w:bCs/>
          <w:color w:val="000000" w:themeColor="text1"/>
          <w:szCs w:val="20"/>
          <w:lang w:eastAsia="en-GB"/>
        </w:rPr>
        <w:t>gender-responsive</w:t>
      </w:r>
      <w:r w:rsidR="001621D5" w:rsidRPr="00CB33F3">
        <w:rPr>
          <w:rFonts w:eastAsia="Times New Roman"/>
          <w:b/>
          <w:color w:val="000000" w:themeColor="text1"/>
          <w:szCs w:val="20"/>
          <w:lang w:eastAsia="en-GB"/>
        </w:rPr>
        <w:t xml:space="preserve"> </w:t>
      </w:r>
      <w:r w:rsidRPr="00CD3D9C">
        <w:rPr>
          <w:szCs w:val="20"/>
        </w:rPr>
        <w:t xml:space="preserve">integrated financing strategy </w:t>
      </w:r>
      <w:bookmarkEnd w:id="20"/>
      <w:r w:rsidRPr="00CD3D9C">
        <w:rPr>
          <w:szCs w:val="20"/>
        </w:rPr>
        <w:t xml:space="preserve">is articulated </w:t>
      </w:r>
    </w:p>
    <w:p w14:paraId="37A02917" w14:textId="74F3C7BA" w:rsidR="00A522D3" w:rsidRPr="00CD3D9C" w:rsidRDefault="00A522D3" w:rsidP="00EC682C">
      <w:pPr>
        <w:rPr>
          <w:szCs w:val="20"/>
        </w:rPr>
      </w:pPr>
      <w:r w:rsidRPr="00CD3D9C">
        <w:rPr>
          <w:szCs w:val="20"/>
        </w:rPr>
        <w:t xml:space="preserve">Output 2.2 Implementation of </w:t>
      </w:r>
      <w:r w:rsidR="008F4FB3">
        <w:rPr>
          <w:szCs w:val="20"/>
        </w:rPr>
        <w:t>a gender responsive</w:t>
      </w:r>
      <w:r w:rsidR="008F4FB3" w:rsidRPr="00CD3D9C">
        <w:rPr>
          <w:szCs w:val="20"/>
        </w:rPr>
        <w:t xml:space="preserve"> </w:t>
      </w:r>
      <w:r w:rsidRPr="00CD3D9C">
        <w:rPr>
          <w:szCs w:val="20"/>
        </w:rPr>
        <w:t>integrated financing strategy supported</w:t>
      </w:r>
    </w:p>
    <w:bookmarkEnd w:id="19"/>
    <w:p w14:paraId="0D1247FE" w14:textId="1160A3CF" w:rsidR="00A522D3" w:rsidRPr="00CD3D9C" w:rsidRDefault="00A522D3" w:rsidP="00EC682C">
      <w:pPr>
        <w:rPr>
          <w:szCs w:val="20"/>
        </w:rPr>
      </w:pPr>
    </w:p>
    <w:p w14:paraId="3A7F34E9" w14:textId="0926935A" w:rsidR="0012551F" w:rsidRPr="00CD3D9C" w:rsidRDefault="00CB04B4" w:rsidP="00EC682C">
      <w:pPr>
        <w:rPr>
          <w:szCs w:val="20"/>
        </w:rPr>
      </w:pPr>
      <w:r w:rsidRPr="00CD3D9C">
        <w:rPr>
          <w:szCs w:val="20"/>
        </w:rPr>
        <w:t xml:space="preserve">Output 2.1 </w:t>
      </w:r>
      <w:r w:rsidR="00F07243" w:rsidRPr="00CD3D9C">
        <w:rPr>
          <w:szCs w:val="20"/>
        </w:rPr>
        <w:t>seeks</w:t>
      </w:r>
      <w:r w:rsidRPr="00CD3D9C">
        <w:rPr>
          <w:szCs w:val="20"/>
        </w:rPr>
        <w:t xml:space="preserve"> to consolidate the results of outcome 1 and the outcomes of the ongoing DFA exercise</w:t>
      </w:r>
      <w:r w:rsidR="005718FE" w:rsidRPr="00CD3D9C">
        <w:rPr>
          <w:szCs w:val="20"/>
        </w:rPr>
        <w:t xml:space="preserve"> and the SDG related partnership landscape assessment </w:t>
      </w:r>
      <w:r w:rsidRPr="00CD3D9C">
        <w:rPr>
          <w:szCs w:val="20"/>
        </w:rPr>
        <w:t xml:space="preserve">into </w:t>
      </w:r>
      <w:r w:rsidR="00987D92" w:rsidRPr="00CD3D9C">
        <w:rPr>
          <w:szCs w:val="20"/>
        </w:rPr>
        <w:t>an</w:t>
      </w:r>
      <w:r w:rsidRPr="00CD3D9C">
        <w:rPr>
          <w:szCs w:val="20"/>
        </w:rPr>
        <w:t xml:space="preserve"> integrated financing strategy that identifies financing solutions for closing </w:t>
      </w:r>
      <w:r w:rsidR="00077624" w:rsidRPr="00CD3D9C">
        <w:rPr>
          <w:szCs w:val="20"/>
        </w:rPr>
        <w:t xml:space="preserve">the </w:t>
      </w:r>
      <w:r w:rsidR="006A3A6C" w:rsidRPr="00CD3D9C">
        <w:rPr>
          <w:szCs w:val="20"/>
        </w:rPr>
        <w:t>SDG</w:t>
      </w:r>
      <w:r w:rsidRPr="00CD3D9C">
        <w:rPr>
          <w:szCs w:val="20"/>
        </w:rPr>
        <w:t xml:space="preserve"> financing gap</w:t>
      </w:r>
      <w:r w:rsidR="006A3A6C" w:rsidRPr="00CD3D9C">
        <w:rPr>
          <w:szCs w:val="20"/>
        </w:rPr>
        <w:t xml:space="preserve"> (output 1.1)</w:t>
      </w:r>
      <w:r w:rsidRPr="00CD3D9C">
        <w:rPr>
          <w:szCs w:val="20"/>
        </w:rPr>
        <w:t>. The</w:t>
      </w:r>
      <w:r w:rsidR="00165569">
        <w:rPr>
          <w:szCs w:val="20"/>
        </w:rPr>
        <w:t xml:space="preserve"> Gender Responsive</w:t>
      </w:r>
      <w:r w:rsidR="00EC57A9" w:rsidRPr="00CD3D9C">
        <w:rPr>
          <w:szCs w:val="20"/>
        </w:rPr>
        <w:t xml:space="preserve"> </w:t>
      </w:r>
      <w:r w:rsidR="00987D92" w:rsidRPr="00CD3D9C">
        <w:rPr>
          <w:color w:val="000000" w:themeColor="text1"/>
          <w:szCs w:val="20"/>
        </w:rPr>
        <w:t xml:space="preserve">National Integrated Financing Strategy </w:t>
      </w:r>
      <w:r w:rsidR="00EC57A9" w:rsidRPr="00CD3D9C">
        <w:rPr>
          <w:szCs w:val="20"/>
        </w:rPr>
        <w:t xml:space="preserve">will have a stand-alone financing section on climate finance </w:t>
      </w:r>
      <w:r w:rsidR="005A76E6">
        <w:rPr>
          <w:szCs w:val="20"/>
        </w:rPr>
        <w:t>to address</w:t>
      </w:r>
      <w:r w:rsidR="005A76E6" w:rsidRPr="005A76E6">
        <w:t xml:space="preserve"> </w:t>
      </w:r>
      <w:r w:rsidR="005A76E6">
        <w:rPr>
          <w:szCs w:val="20"/>
        </w:rPr>
        <w:t>SDGs</w:t>
      </w:r>
      <w:r w:rsidR="005A76E6" w:rsidRPr="005A76E6">
        <w:rPr>
          <w:szCs w:val="20"/>
        </w:rPr>
        <w:t xml:space="preserve"> 2, 6, 7, 11, 14, 15</w:t>
      </w:r>
      <w:r w:rsidR="005A76E6">
        <w:rPr>
          <w:szCs w:val="20"/>
        </w:rPr>
        <w:t xml:space="preserve"> </w:t>
      </w:r>
      <w:r w:rsidR="00EC57A9" w:rsidRPr="00CD3D9C">
        <w:rPr>
          <w:szCs w:val="20"/>
        </w:rPr>
        <w:t>and a stand-alone financing strategy for social service reforms that are required to achieve quality, equity and sustainability</w:t>
      </w:r>
      <w:r w:rsidR="00077624" w:rsidRPr="00CD3D9C">
        <w:rPr>
          <w:szCs w:val="20"/>
        </w:rPr>
        <w:t xml:space="preserve"> to achieve the</w:t>
      </w:r>
      <w:r w:rsidR="005A76E6" w:rsidRPr="005A76E6">
        <w:t xml:space="preserve"> </w:t>
      </w:r>
      <w:r w:rsidR="005A76E6" w:rsidRPr="005A76E6">
        <w:rPr>
          <w:szCs w:val="20"/>
        </w:rPr>
        <w:t>SDGs 2, 3, 4, 5, 7, 10</w:t>
      </w:r>
      <w:r w:rsidR="006825F1" w:rsidRPr="00CD3D9C">
        <w:rPr>
          <w:szCs w:val="20"/>
        </w:rPr>
        <w:t xml:space="preserve">. </w:t>
      </w:r>
      <w:bookmarkStart w:id="21" w:name="_Hlk34922588"/>
      <w:r w:rsidR="006825F1" w:rsidRPr="00CD3D9C">
        <w:rPr>
          <w:szCs w:val="20"/>
        </w:rPr>
        <w:t xml:space="preserve">The social sector financing strategy will include </w:t>
      </w:r>
      <w:bookmarkStart w:id="22" w:name="_Hlk34922621"/>
      <w:bookmarkEnd w:id="21"/>
      <w:r w:rsidR="003B6016" w:rsidRPr="00CD3D9C">
        <w:rPr>
          <w:szCs w:val="20"/>
        </w:rPr>
        <w:t xml:space="preserve">strategies to close the </w:t>
      </w:r>
      <w:r w:rsidR="003B6016" w:rsidRPr="008F6500">
        <w:t>gender financing gap</w:t>
      </w:r>
      <w:r w:rsidR="003B6016" w:rsidRPr="00FB4EF5">
        <w:rPr>
          <w:szCs w:val="20"/>
        </w:rPr>
        <w:t>.</w:t>
      </w:r>
      <w:r w:rsidR="003B6016" w:rsidRPr="00CD3D9C">
        <w:rPr>
          <w:szCs w:val="20"/>
        </w:rPr>
        <w:t xml:space="preserve"> </w:t>
      </w:r>
      <w:r w:rsidR="0012551F" w:rsidRPr="00CD3D9C">
        <w:rPr>
          <w:szCs w:val="20"/>
        </w:rPr>
        <w:t xml:space="preserve">A </w:t>
      </w:r>
      <w:r w:rsidR="00077624" w:rsidRPr="00CD3D9C">
        <w:rPr>
          <w:szCs w:val="20"/>
        </w:rPr>
        <w:t xml:space="preserve">costed </w:t>
      </w:r>
      <w:r w:rsidR="0012551F" w:rsidRPr="00CD3D9C">
        <w:rPr>
          <w:szCs w:val="20"/>
        </w:rPr>
        <w:t xml:space="preserve">capacity building and human resource investment plan </w:t>
      </w:r>
      <w:r w:rsidR="00EC57A9" w:rsidRPr="00CD3D9C">
        <w:rPr>
          <w:szCs w:val="20"/>
        </w:rPr>
        <w:t>will be</w:t>
      </w:r>
      <w:r w:rsidR="0012551F" w:rsidRPr="00CD3D9C">
        <w:rPr>
          <w:szCs w:val="20"/>
        </w:rPr>
        <w:t xml:space="preserve"> integral to the overall social sector financing </w:t>
      </w:r>
      <w:r w:rsidR="00EC57A9" w:rsidRPr="00CD3D9C">
        <w:rPr>
          <w:szCs w:val="20"/>
        </w:rPr>
        <w:t xml:space="preserve">strategy. </w:t>
      </w:r>
      <w:bookmarkEnd w:id="22"/>
      <w:r w:rsidR="00EC57A9" w:rsidRPr="00CD3D9C">
        <w:rPr>
          <w:szCs w:val="20"/>
        </w:rPr>
        <w:t>The climate finance chapter will update the</w:t>
      </w:r>
      <w:r w:rsidR="00BD7D69" w:rsidRPr="00CD3D9C">
        <w:rPr>
          <w:szCs w:val="20"/>
        </w:rPr>
        <w:t xml:space="preserve"> existing</w:t>
      </w:r>
      <w:r w:rsidR="00EC57A9" w:rsidRPr="00CD3D9C">
        <w:rPr>
          <w:szCs w:val="20"/>
        </w:rPr>
        <w:t xml:space="preserve"> climate finance investment portfolio compiled by the Ministry of Environment with improved structuring and incentives targeting private sector participation</w:t>
      </w:r>
      <w:r w:rsidR="00F07243" w:rsidRPr="00CD3D9C">
        <w:rPr>
          <w:szCs w:val="20"/>
        </w:rPr>
        <w:t xml:space="preserve"> and with improved climate tracking data that demonstrates accurate public investments.</w:t>
      </w:r>
      <w:r w:rsidR="00EC57A9" w:rsidRPr="00CD3D9C">
        <w:rPr>
          <w:szCs w:val="20"/>
        </w:rPr>
        <w:t xml:space="preserve"> The </w:t>
      </w:r>
      <w:r w:rsidR="00743F0E" w:rsidRPr="00CD3D9C">
        <w:rPr>
          <w:color w:val="000000" w:themeColor="text1"/>
          <w:szCs w:val="20"/>
        </w:rPr>
        <w:t>National Integrated Financing Strategy</w:t>
      </w:r>
      <w:r w:rsidR="00EC57A9" w:rsidRPr="00CD3D9C">
        <w:rPr>
          <w:szCs w:val="20"/>
        </w:rPr>
        <w:t xml:space="preserve"> and the climate finance chapter will be developed by UNDP while the social sector financing strategy will be developed by UNICEF, WHO and UNFPA. </w:t>
      </w:r>
    </w:p>
    <w:p w14:paraId="50607C62" w14:textId="2090A421" w:rsidR="00EC57A9" w:rsidRPr="00CD3D9C" w:rsidRDefault="00EC57A9" w:rsidP="00EC682C">
      <w:pPr>
        <w:rPr>
          <w:szCs w:val="20"/>
        </w:rPr>
      </w:pPr>
    </w:p>
    <w:p w14:paraId="67F5485F" w14:textId="1C33C6F7" w:rsidR="00EC57A9" w:rsidRPr="00CD3D9C" w:rsidRDefault="00EC57A9" w:rsidP="00EC682C">
      <w:pPr>
        <w:rPr>
          <w:szCs w:val="20"/>
        </w:rPr>
      </w:pPr>
      <w:r w:rsidRPr="00CD3D9C">
        <w:rPr>
          <w:szCs w:val="20"/>
        </w:rPr>
        <w:t xml:space="preserve">Output 2.2 aims to operationalize elements of </w:t>
      </w:r>
      <w:r w:rsidR="009B2458">
        <w:rPr>
          <w:szCs w:val="20"/>
        </w:rPr>
        <w:t xml:space="preserve">a gender responsive </w:t>
      </w:r>
      <w:r w:rsidR="00743F0E" w:rsidRPr="00CD3D9C">
        <w:rPr>
          <w:color w:val="000000" w:themeColor="text1"/>
          <w:szCs w:val="20"/>
        </w:rPr>
        <w:t>National Integrated Financing Strategy</w:t>
      </w:r>
      <w:r w:rsidRPr="00CD3D9C">
        <w:rPr>
          <w:szCs w:val="20"/>
        </w:rPr>
        <w:t xml:space="preserve"> in order to </w:t>
      </w:r>
      <w:r w:rsidR="00885A45" w:rsidRPr="00CD3D9C">
        <w:rPr>
          <w:szCs w:val="20"/>
        </w:rPr>
        <w:t>put into motion its</w:t>
      </w:r>
      <w:r w:rsidR="000D3B73" w:rsidRPr="00CD3D9C">
        <w:rPr>
          <w:szCs w:val="20"/>
        </w:rPr>
        <w:t xml:space="preserve"> full implementation</w:t>
      </w:r>
      <w:r w:rsidRPr="00CD3D9C">
        <w:rPr>
          <w:szCs w:val="20"/>
        </w:rPr>
        <w:t xml:space="preserve">. Output 2.2 includes activities that are likely to be part of the </w:t>
      </w:r>
      <w:r w:rsidR="00743F0E" w:rsidRPr="00CD3D9C">
        <w:rPr>
          <w:color w:val="000000" w:themeColor="text1"/>
          <w:szCs w:val="20"/>
        </w:rPr>
        <w:t xml:space="preserve">National Integrated Financing Strategy </w:t>
      </w:r>
      <w:r w:rsidRPr="00CD3D9C">
        <w:rPr>
          <w:szCs w:val="20"/>
        </w:rPr>
        <w:t xml:space="preserve">based on feedback received from government </w:t>
      </w:r>
      <w:r w:rsidRPr="00FB4EF5">
        <w:rPr>
          <w:szCs w:val="20"/>
        </w:rPr>
        <w:t xml:space="preserve">ministries. </w:t>
      </w:r>
      <w:bookmarkStart w:id="23" w:name="_Hlk34923727"/>
      <w:r w:rsidRPr="00FB4EF5">
        <w:rPr>
          <w:szCs w:val="20"/>
        </w:rPr>
        <w:t>This includes</w:t>
      </w:r>
      <w:r w:rsidR="00455D7E" w:rsidRPr="00FB4EF5">
        <w:rPr>
          <w:szCs w:val="20"/>
        </w:rPr>
        <w:t xml:space="preserve"> broadly addressing the need to </w:t>
      </w:r>
      <w:r w:rsidR="00455D7E" w:rsidRPr="00FB4EF5">
        <w:rPr>
          <w:szCs w:val="20"/>
        </w:rPr>
        <w:lastRenderedPageBreak/>
        <w:t xml:space="preserve">account </w:t>
      </w:r>
      <w:r w:rsidR="00B23436">
        <w:rPr>
          <w:szCs w:val="20"/>
        </w:rPr>
        <w:t>for</w:t>
      </w:r>
      <w:r w:rsidR="00455D7E" w:rsidRPr="00FB4EF5">
        <w:rPr>
          <w:szCs w:val="20"/>
        </w:rPr>
        <w:t xml:space="preserve"> inequalities, including </w:t>
      </w:r>
      <w:r w:rsidR="00455D7E" w:rsidRPr="008F6500">
        <w:t>gender inequalities, in</w:t>
      </w:r>
      <w:r w:rsidR="00455D7E" w:rsidRPr="00FB4EF5">
        <w:rPr>
          <w:szCs w:val="20"/>
        </w:rPr>
        <w:t xml:space="preserve"> fiscal</w:t>
      </w:r>
      <w:r w:rsidR="00455D7E" w:rsidRPr="00CD3D9C">
        <w:rPr>
          <w:szCs w:val="20"/>
        </w:rPr>
        <w:t xml:space="preserve"> policy and </w:t>
      </w:r>
      <w:r w:rsidR="001E416A" w:rsidRPr="00CD3D9C">
        <w:rPr>
          <w:szCs w:val="20"/>
        </w:rPr>
        <w:t>in the ongoing PFM reforms</w:t>
      </w:r>
      <w:r w:rsidR="00455D7E" w:rsidRPr="00CD3D9C">
        <w:rPr>
          <w:szCs w:val="20"/>
        </w:rPr>
        <w:t xml:space="preserve">. </w:t>
      </w:r>
      <w:bookmarkEnd w:id="23"/>
      <w:r w:rsidR="00455D7E" w:rsidRPr="00CD3D9C">
        <w:rPr>
          <w:szCs w:val="20"/>
        </w:rPr>
        <w:t xml:space="preserve">Specific activities in the JP </w:t>
      </w:r>
      <w:r w:rsidR="001E416A" w:rsidRPr="00CD3D9C">
        <w:rPr>
          <w:szCs w:val="20"/>
        </w:rPr>
        <w:t>including training officials in</w:t>
      </w:r>
      <w:r w:rsidR="00455D7E" w:rsidRPr="00CD3D9C">
        <w:rPr>
          <w:szCs w:val="20"/>
        </w:rPr>
        <w:t xml:space="preserve"> </w:t>
      </w:r>
      <w:r w:rsidR="00BD7D69" w:rsidRPr="00CD3D9C">
        <w:rPr>
          <w:szCs w:val="20"/>
        </w:rPr>
        <w:t xml:space="preserve">line ministries </w:t>
      </w:r>
      <w:r w:rsidR="001E416A" w:rsidRPr="00CD3D9C">
        <w:rPr>
          <w:szCs w:val="20"/>
        </w:rPr>
        <w:t>on</w:t>
      </w:r>
      <w:r w:rsidRPr="00CD3D9C">
        <w:rPr>
          <w:szCs w:val="20"/>
        </w:rPr>
        <w:t xml:space="preserve"> budget appraisal, budget scrutiny</w:t>
      </w:r>
      <w:r w:rsidR="001E416A" w:rsidRPr="00CD3D9C">
        <w:rPr>
          <w:szCs w:val="20"/>
        </w:rPr>
        <w:t xml:space="preserve">, </w:t>
      </w:r>
      <w:r w:rsidR="001E416A" w:rsidRPr="008F6500">
        <w:t>gender budget audits</w:t>
      </w:r>
      <w:r w:rsidRPr="00CD3D9C">
        <w:rPr>
          <w:szCs w:val="20"/>
        </w:rPr>
        <w:t xml:space="preserve"> and reporting </w:t>
      </w:r>
      <w:r w:rsidR="00BD7D69" w:rsidRPr="00CD3D9C">
        <w:rPr>
          <w:szCs w:val="20"/>
        </w:rPr>
        <w:t>relevant to social service delivery ensuring align</w:t>
      </w:r>
      <w:r w:rsidR="00865F6F">
        <w:rPr>
          <w:szCs w:val="20"/>
        </w:rPr>
        <w:t>ment</w:t>
      </w:r>
      <w:r w:rsidR="00BD7D69" w:rsidRPr="00CD3D9C">
        <w:rPr>
          <w:szCs w:val="20"/>
        </w:rPr>
        <w:t xml:space="preserve"> to the social sector financing strategy developed under Output 2.2 (discussed above).</w:t>
      </w:r>
      <w:bookmarkStart w:id="24" w:name="_Hlk34922550"/>
      <w:r w:rsidR="001E416A" w:rsidRPr="00CD3D9C">
        <w:rPr>
          <w:szCs w:val="20"/>
        </w:rPr>
        <w:t xml:space="preserve"> </w:t>
      </w:r>
      <w:r w:rsidR="000D3B73" w:rsidRPr="00CD3D9C">
        <w:rPr>
          <w:szCs w:val="20"/>
        </w:rPr>
        <w:t>The activity</w:t>
      </w:r>
      <w:r w:rsidRPr="00CD3D9C">
        <w:rPr>
          <w:szCs w:val="20"/>
        </w:rPr>
        <w:t xml:space="preserve"> complements PFM reforms supported by the World Bank and</w:t>
      </w:r>
      <w:r w:rsidR="000D3B73" w:rsidRPr="00CD3D9C">
        <w:rPr>
          <w:szCs w:val="20"/>
        </w:rPr>
        <w:t xml:space="preserve"> planned</w:t>
      </w:r>
      <w:r w:rsidR="006A3A6C" w:rsidRPr="00CD3D9C">
        <w:rPr>
          <w:szCs w:val="20"/>
        </w:rPr>
        <w:t xml:space="preserve"> </w:t>
      </w:r>
      <w:r w:rsidR="000D3B73" w:rsidRPr="00CD3D9C">
        <w:rPr>
          <w:szCs w:val="20"/>
        </w:rPr>
        <w:t>assistance from</w:t>
      </w:r>
      <w:r w:rsidRPr="00CD3D9C">
        <w:rPr>
          <w:szCs w:val="20"/>
        </w:rPr>
        <w:t xml:space="preserve"> USA</w:t>
      </w:r>
      <w:r w:rsidR="000D3B73" w:rsidRPr="00CD3D9C">
        <w:rPr>
          <w:szCs w:val="20"/>
        </w:rPr>
        <w:t>ID on programme</w:t>
      </w:r>
      <w:r w:rsidR="006A3A6C" w:rsidRPr="00CD3D9C">
        <w:rPr>
          <w:szCs w:val="20"/>
        </w:rPr>
        <w:t xml:space="preserve"> based</w:t>
      </w:r>
      <w:r w:rsidR="000D3B73" w:rsidRPr="00CD3D9C">
        <w:rPr>
          <w:szCs w:val="20"/>
        </w:rPr>
        <w:t xml:space="preserve"> budgeting.</w:t>
      </w:r>
      <w:r w:rsidR="006A3A6C" w:rsidRPr="00CD3D9C">
        <w:rPr>
          <w:szCs w:val="20"/>
        </w:rPr>
        <w:t xml:space="preserve"> A</w:t>
      </w:r>
      <w:r w:rsidR="000D3B73" w:rsidRPr="00CD3D9C">
        <w:rPr>
          <w:szCs w:val="20"/>
        </w:rPr>
        <w:t xml:space="preserve">nother </w:t>
      </w:r>
      <w:bookmarkEnd w:id="24"/>
      <w:r w:rsidR="000D3B73" w:rsidRPr="00CD3D9C">
        <w:rPr>
          <w:szCs w:val="20"/>
        </w:rPr>
        <w:t>activity that will be supported under this output is to automate the medicine and medical material management to minimize health spending leakages in procurement and distribution. This activity will be led by WHO and is expected to improve fiscal space for health sector</w:t>
      </w:r>
      <w:r w:rsidR="00F07243" w:rsidRPr="00CD3D9C">
        <w:rPr>
          <w:szCs w:val="20"/>
        </w:rPr>
        <w:t xml:space="preserve"> spending</w:t>
      </w:r>
      <w:r w:rsidR="000D3B73" w:rsidRPr="00CD3D9C">
        <w:rPr>
          <w:szCs w:val="20"/>
        </w:rPr>
        <w:t>. A third activity under th</w:t>
      </w:r>
      <w:r w:rsidR="00865F6F">
        <w:rPr>
          <w:szCs w:val="20"/>
        </w:rPr>
        <w:t>is</w:t>
      </w:r>
      <w:r w:rsidR="000D3B73" w:rsidRPr="00CD3D9C">
        <w:rPr>
          <w:szCs w:val="20"/>
        </w:rPr>
        <w:t xml:space="preserve"> output aims to build on the UNDP supported global climate promise initiative to accelerate advocacy for climate investments and to secure private sector financing for the climate financing portfolio developed under output 2.1. </w:t>
      </w:r>
      <w:r w:rsidR="00A00A5A" w:rsidRPr="00CD3D9C">
        <w:rPr>
          <w:szCs w:val="20"/>
        </w:rPr>
        <w:t>This includes putting in place the necessary incentive structure</w:t>
      </w:r>
      <w:r w:rsidR="00865F6F">
        <w:rPr>
          <w:szCs w:val="20"/>
        </w:rPr>
        <w:t>s</w:t>
      </w:r>
      <w:r w:rsidR="00A00A5A" w:rsidRPr="00CD3D9C">
        <w:rPr>
          <w:szCs w:val="20"/>
        </w:rPr>
        <w:t xml:space="preserve"> and advocacy to leverage climate finance from the private sector.</w:t>
      </w:r>
      <w:r w:rsidR="00BD7D69" w:rsidRPr="00CD3D9C">
        <w:rPr>
          <w:szCs w:val="20"/>
        </w:rPr>
        <w:t xml:space="preserve"> </w:t>
      </w:r>
      <w:r w:rsidR="000D3B73" w:rsidRPr="00CD3D9C">
        <w:rPr>
          <w:szCs w:val="20"/>
        </w:rPr>
        <w:t xml:space="preserve">This activity will be led by UNDP and will be implemented in collaboration with ADB and IsDB. </w:t>
      </w:r>
    </w:p>
    <w:p w14:paraId="32700291" w14:textId="77777777" w:rsidR="00852339" w:rsidRPr="00CD3D9C" w:rsidRDefault="00852339" w:rsidP="00EC682C">
      <w:pPr>
        <w:rPr>
          <w:szCs w:val="20"/>
        </w:rPr>
      </w:pPr>
    </w:p>
    <w:p w14:paraId="1867047F" w14:textId="77777777" w:rsidR="000319EB" w:rsidRDefault="000319EB" w:rsidP="008D370F">
      <w:pPr>
        <w:rPr>
          <w:b/>
          <w:bCs/>
          <w:szCs w:val="20"/>
        </w:rPr>
      </w:pPr>
      <w:bookmarkStart w:id="25" w:name="_Hlk34832520"/>
    </w:p>
    <w:p w14:paraId="5E7FC8FD" w14:textId="77777777" w:rsidR="000319EB" w:rsidRDefault="000319EB" w:rsidP="008D370F">
      <w:pPr>
        <w:rPr>
          <w:b/>
          <w:bCs/>
          <w:szCs w:val="20"/>
        </w:rPr>
      </w:pPr>
    </w:p>
    <w:p w14:paraId="4ABE65ED" w14:textId="77777777" w:rsidR="000319EB" w:rsidRDefault="000319EB" w:rsidP="008D370F">
      <w:pPr>
        <w:rPr>
          <w:b/>
          <w:bCs/>
          <w:szCs w:val="20"/>
        </w:rPr>
      </w:pPr>
    </w:p>
    <w:p w14:paraId="42ECD263" w14:textId="77777777" w:rsidR="000319EB" w:rsidRDefault="000319EB" w:rsidP="008D370F">
      <w:pPr>
        <w:rPr>
          <w:b/>
          <w:bCs/>
          <w:szCs w:val="20"/>
        </w:rPr>
      </w:pPr>
    </w:p>
    <w:p w14:paraId="73DB7762" w14:textId="055903A0" w:rsidR="008D370F" w:rsidRPr="005E36D2" w:rsidRDefault="008D370F" w:rsidP="008D370F">
      <w:pPr>
        <w:rPr>
          <w:b/>
          <w:bCs/>
          <w:szCs w:val="20"/>
        </w:rPr>
      </w:pPr>
      <w:r w:rsidRPr="005E36D2">
        <w:rPr>
          <w:b/>
          <w:bCs/>
          <w:szCs w:val="20"/>
        </w:rPr>
        <w:t>Outcome 3: Integrated National Financing Framework (INFF) architecture strengthened, including improved monitoring of financing impact.</w:t>
      </w:r>
    </w:p>
    <w:p w14:paraId="093C92E1" w14:textId="77777777" w:rsidR="008D370F" w:rsidRPr="00CD3D9C" w:rsidRDefault="008D370F" w:rsidP="00EC682C">
      <w:pPr>
        <w:rPr>
          <w:b/>
          <w:bCs/>
          <w:szCs w:val="20"/>
        </w:rPr>
      </w:pPr>
    </w:p>
    <w:p w14:paraId="380C3C0B" w14:textId="5E56D440" w:rsidR="00852339" w:rsidRPr="00CD3D9C" w:rsidRDefault="009120C0" w:rsidP="00EC682C">
      <w:pPr>
        <w:rPr>
          <w:szCs w:val="20"/>
        </w:rPr>
      </w:pPr>
      <w:r w:rsidRPr="00CD3D9C">
        <w:rPr>
          <w:szCs w:val="20"/>
        </w:rPr>
        <w:t>Output 3.1 Design of</w:t>
      </w:r>
      <w:r w:rsidR="00217A51">
        <w:rPr>
          <w:szCs w:val="20"/>
        </w:rPr>
        <w:t xml:space="preserve"> a gender balanced full-fledged</w:t>
      </w:r>
      <w:r w:rsidRPr="00CD3D9C">
        <w:rPr>
          <w:szCs w:val="20"/>
        </w:rPr>
        <w:t xml:space="preserve"> INFF oversight committee completed and the committee is functional</w:t>
      </w:r>
      <w:r w:rsidR="0012551F" w:rsidRPr="00CD3D9C">
        <w:rPr>
          <w:szCs w:val="20"/>
        </w:rPr>
        <w:t>.</w:t>
      </w:r>
    </w:p>
    <w:p w14:paraId="52DF06B7" w14:textId="02382FD3" w:rsidR="004A79C1" w:rsidRPr="00CD3D9C" w:rsidRDefault="004A79C1" w:rsidP="00EC682C">
      <w:pPr>
        <w:rPr>
          <w:szCs w:val="20"/>
        </w:rPr>
      </w:pPr>
      <w:r w:rsidRPr="00CD3D9C">
        <w:rPr>
          <w:szCs w:val="20"/>
        </w:rPr>
        <w:t xml:space="preserve">Output 3.2 Capacity of the INFF oversight committee and private sector enhanced to enable </w:t>
      </w:r>
      <w:r w:rsidR="00217A51" w:rsidRPr="00217A51">
        <w:rPr>
          <w:szCs w:val="20"/>
        </w:rPr>
        <w:t>stronger dialogue and collaboration on financing polic</w:t>
      </w:r>
      <w:r w:rsidR="00217A51">
        <w:rPr>
          <w:szCs w:val="20"/>
        </w:rPr>
        <w:t>ies</w:t>
      </w:r>
      <w:r w:rsidR="00217A51" w:rsidRPr="00217A51">
        <w:rPr>
          <w:szCs w:val="20"/>
        </w:rPr>
        <w:t xml:space="preserve"> between government and other non-state stakeholders.</w:t>
      </w:r>
    </w:p>
    <w:bookmarkEnd w:id="25"/>
    <w:p w14:paraId="642F428B" w14:textId="0418AC03" w:rsidR="00852339" w:rsidRPr="00CD3D9C" w:rsidRDefault="00852339" w:rsidP="00EC682C">
      <w:pPr>
        <w:rPr>
          <w:b/>
          <w:color w:val="2F5496" w:themeColor="accent1" w:themeShade="BF"/>
          <w:szCs w:val="20"/>
        </w:rPr>
      </w:pPr>
    </w:p>
    <w:p w14:paraId="418B9694" w14:textId="11C01257" w:rsidR="00852339" w:rsidRPr="00CD3D9C" w:rsidRDefault="0012551F" w:rsidP="00EC682C">
      <w:pPr>
        <w:rPr>
          <w:szCs w:val="20"/>
        </w:rPr>
      </w:pPr>
      <w:r w:rsidRPr="00CD3D9C">
        <w:rPr>
          <w:szCs w:val="20"/>
        </w:rPr>
        <w:t xml:space="preserve">Output 3.1 </w:t>
      </w:r>
      <w:r w:rsidR="00F07243" w:rsidRPr="00CD3D9C">
        <w:rPr>
          <w:szCs w:val="20"/>
        </w:rPr>
        <w:t>seeks</w:t>
      </w:r>
      <w:r w:rsidRPr="00CD3D9C">
        <w:rPr>
          <w:szCs w:val="20"/>
        </w:rPr>
        <w:t xml:space="preserve"> to </w:t>
      </w:r>
      <w:r w:rsidR="00303BD2" w:rsidRPr="00CD3D9C">
        <w:rPr>
          <w:szCs w:val="20"/>
        </w:rPr>
        <w:t>consolidate the existing DFA/INFF oversight team into a</w:t>
      </w:r>
      <w:r w:rsidR="002D7E20" w:rsidRPr="00CD3D9C">
        <w:rPr>
          <w:szCs w:val="20"/>
        </w:rPr>
        <w:t xml:space="preserve"> full-fledged</w:t>
      </w:r>
      <w:r w:rsidR="00303BD2" w:rsidRPr="00CD3D9C">
        <w:rPr>
          <w:szCs w:val="20"/>
        </w:rPr>
        <w:t xml:space="preserve"> INFF Oversight Committee. The activity involves </w:t>
      </w:r>
      <w:r w:rsidRPr="00CD3D9C">
        <w:rPr>
          <w:szCs w:val="20"/>
        </w:rPr>
        <w:t>complet</w:t>
      </w:r>
      <w:r w:rsidR="00303BD2" w:rsidRPr="00CD3D9C">
        <w:rPr>
          <w:szCs w:val="20"/>
        </w:rPr>
        <w:t>ing</w:t>
      </w:r>
      <w:r w:rsidRPr="00CD3D9C">
        <w:rPr>
          <w:szCs w:val="20"/>
        </w:rPr>
        <w:t xml:space="preserve"> the design and functionality of the INFF </w:t>
      </w:r>
      <w:r w:rsidR="00303BD2" w:rsidRPr="00CD3D9C">
        <w:rPr>
          <w:szCs w:val="20"/>
        </w:rPr>
        <w:t>Oversight Committee</w:t>
      </w:r>
      <w:r w:rsidR="00652EE8">
        <w:rPr>
          <w:szCs w:val="20"/>
        </w:rPr>
        <w:t xml:space="preserve"> making it gender responsive and </w:t>
      </w:r>
      <w:r w:rsidR="003609F5">
        <w:rPr>
          <w:szCs w:val="20"/>
        </w:rPr>
        <w:t>gender balanced</w:t>
      </w:r>
      <w:r w:rsidR="00BB492E" w:rsidRPr="00CD3D9C">
        <w:rPr>
          <w:szCs w:val="20"/>
        </w:rPr>
        <w:t>. The broader institutional</w:t>
      </w:r>
      <w:r w:rsidRPr="00CD3D9C">
        <w:rPr>
          <w:szCs w:val="20"/>
        </w:rPr>
        <w:t xml:space="preserve"> roles and the working arrangements of the committee will need </w:t>
      </w:r>
      <w:r w:rsidR="00652EE8">
        <w:rPr>
          <w:szCs w:val="20"/>
        </w:rPr>
        <w:t xml:space="preserve">detailed out </w:t>
      </w:r>
      <w:r w:rsidR="00652EE8" w:rsidRPr="00CD3D9C">
        <w:rPr>
          <w:szCs w:val="20"/>
        </w:rPr>
        <w:t>to bring in the alignment of financing policy to national planning (vertical alignment) and build stronger integration across the public and private fin policies (lateral integration)</w:t>
      </w:r>
      <w:r w:rsidRPr="00CD3D9C">
        <w:rPr>
          <w:szCs w:val="20"/>
        </w:rPr>
        <w:t>. As this will be an incremental process of testing</w:t>
      </w:r>
      <w:r w:rsidR="006A3A6C" w:rsidRPr="00CD3D9C">
        <w:rPr>
          <w:szCs w:val="20"/>
        </w:rPr>
        <w:t xml:space="preserve"> and</w:t>
      </w:r>
      <w:r w:rsidRPr="00CD3D9C">
        <w:rPr>
          <w:szCs w:val="20"/>
        </w:rPr>
        <w:t xml:space="preserve"> improving </w:t>
      </w:r>
      <w:r w:rsidR="006A3A6C" w:rsidRPr="00CD3D9C">
        <w:rPr>
          <w:szCs w:val="20"/>
        </w:rPr>
        <w:t>the effectiveness of the committee</w:t>
      </w:r>
      <w:r w:rsidR="00652EE8">
        <w:rPr>
          <w:szCs w:val="20"/>
        </w:rPr>
        <w:t>,</w:t>
      </w:r>
      <w:r w:rsidR="006A3A6C" w:rsidRPr="00CD3D9C">
        <w:rPr>
          <w:szCs w:val="20"/>
        </w:rPr>
        <w:t xml:space="preserve"> </w:t>
      </w:r>
      <w:r w:rsidR="00652EE8">
        <w:rPr>
          <w:szCs w:val="20"/>
        </w:rPr>
        <w:t>t</w:t>
      </w:r>
      <w:r w:rsidR="00562507" w:rsidRPr="00CD3D9C">
        <w:rPr>
          <w:szCs w:val="20"/>
        </w:rPr>
        <w:t>he</w:t>
      </w:r>
      <w:r w:rsidRPr="00CD3D9C">
        <w:rPr>
          <w:szCs w:val="20"/>
        </w:rPr>
        <w:t xml:space="preserve"> activities under this output will run continuous across the </w:t>
      </w:r>
      <w:r w:rsidR="006A3A6C" w:rsidRPr="00CD3D9C">
        <w:rPr>
          <w:szCs w:val="20"/>
        </w:rPr>
        <w:t>JP</w:t>
      </w:r>
      <w:r w:rsidRPr="00CD3D9C">
        <w:rPr>
          <w:szCs w:val="20"/>
        </w:rPr>
        <w:t xml:space="preserve"> period.</w:t>
      </w:r>
      <w:r w:rsidR="00F0247B" w:rsidRPr="00CD3D9C">
        <w:rPr>
          <w:szCs w:val="20"/>
        </w:rPr>
        <w:t xml:space="preserve"> </w:t>
      </w:r>
      <w:bookmarkStart w:id="26" w:name="_Hlk34923301"/>
      <w:r w:rsidR="00F0247B" w:rsidRPr="00CD3D9C">
        <w:rPr>
          <w:szCs w:val="20"/>
        </w:rPr>
        <w:t>A key role of the INFF Oversight Committee would be to identify differential impacts of policies and financing decisions and financing policies on women and men, gender equality and women’s empowerment.</w:t>
      </w:r>
      <w:bookmarkEnd w:id="26"/>
      <w:r w:rsidRPr="00CD3D9C">
        <w:rPr>
          <w:szCs w:val="20"/>
        </w:rPr>
        <w:t xml:space="preserve"> UNDP will support the overall design of the INFF committee while UNICEF will specifically look at the monitoring functions of the INFF</w:t>
      </w:r>
      <w:r w:rsidR="00303BD2" w:rsidRPr="00CD3D9C">
        <w:rPr>
          <w:szCs w:val="20"/>
        </w:rPr>
        <w:t xml:space="preserve"> Oversight </w:t>
      </w:r>
      <w:r w:rsidR="007D5FBC" w:rsidRPr="00CD3D9C">
        <w:rPr>
          <w:szCs w:val="20"/>
        </w:rPr>
        <w:t>Committee</w:t>
      </w:r>
      <w:r w:rsidR="007D5FBC">
        <w:rPr>
          <w:szCs w:val="20"/>
        </w:rPr>
        <w:t xml:space="preserve"> and</w:t>
      </w:r>
      <w:r w:rsidR="00303BD2" w:rsidRPr="00CD3D9C">
        <w:rPr>
          <w:szCs w:val="20"/>
        </w:rPr>
        <w:t xml:space="preserve"> put in place the monitoring and evaluation framework</w:t>
      </w:r>
      <w:r w:rsidR="007D5FBC">
        <w:rPr>
          <w:szCs w:val="20"/>
        </w:rPr>
        <w:t xml:space="preserve"> and the associated statistical and data capacity</w:t>
      </w:r>
      <w:r w:rsidR="00865F6F">
        <w:rPr>
          <w:szCs w:val="20"/>
        </w:rPr>
        <w:t>.</w:t>
      </w:r>
      <w:r w:rsidR="007D5FBC">
        <w:rPr>
          <w:szCs w:val="20"/>
        </w:rPr>
        <w:t xml:space="preserve"> </w:t>
      </w:r>
      <w:r w:rsidR="00865F6F">
        <w:rPr>
          <w:szCs w:val="20"/>
        </w:rPr>
        <w:t>This framework</w:t>
      </w:r>
      <w:r w:rsidR="00303BD2" w:rsidRPr="00CD3D9C">
        <w:rPr>
          <w:szCs w:val="20"/>
        </w:rPr>
        <w:t xml:space="preserve"> </w:t>
      </w:r>
      <w:r w:rsidR="00865F6F">
        <w:rPr>
          <w:szCs w:val="20"/>
        </w:rPr>
        <w:t>will</w:t>
      </w:r>
      <w:r w:rsidR="00303BD2" w:rsidRPr="00CD3D9C">
        <w:rPr>
          <w:szCs w:val="20"/>
        </w:rPr>
        <w:t xml:space="preserve"> assess the progress and impact of various financing policies, financing reform initiatives and to monitor the implementation of the </w:t>
      </w:r>
      <w:r w:rsidR="00743F0E" w:rsidRPr="00CD3D9C">
        <w:rPr>
          <w:color w:val="000000" w:themeColor="text1"/>
          <w:szCs w:val="20"/>
        </w:rPr>
        <w:t>National Integrated Financing Strategy</w:t>
      </w:r>
      <w:r w:rsidR="00303BD2" w:rsidRPr="00CD3D9C">
        <w:rPr>
          <w:szCs w:val="20"/>
        </w:rPr>
        <w:t xml:space="preserve">. </w:t>
      </w:r>
      <w:bookmarkStart w:id="27" w:name="_Hlk34923051"/>
      <w:r w:rsidR="00303BD2" w:rsidRPr="00CD3D9C">
        <w:rPr>
          <w:szCs w:val="20"/>
        </w:rPr>
        <w:t>The monitoring and evaluation framework will include specific indicators to assess impact of development financing</w:t>
      </w:r>
      <w:r w:rsidR="00F0247B" w:rsidRPr="00CD3D9C">
        <w:rPr>
          <w:szCs w:val="20"/>
        </w:rPr>
        <w:t xml:space="preserve"> on climate action, gender equality and social sector reform areas</w:t>
      </w:r>
      <w:r w:rsidR="00303BD2" w:rsidRPr="00CD3D9C">
        <w:rPr>
          <w:szCs w:val="20"/>
        </w:rPr>
        <w:t>.</w:t>
      </w:r>
      <w:bookmarkEnd w:id="27"/>
      <w:r w:rsidR="00303BD2" w:rsidRPr="00CD3D9C">
        <w:rPr>
          <w:szCs w:val="20"/>
        </w:rPr>
        <w:t xml:space="preserve"> </w:t>
      </w:r>
      <w:r w:rsidR="00BB492E" w:rsidRPr="00CD3D9C">
        <w:rPr>
          <w:szCs w:val="20"/>
        </w:rPr>
        <w:t xml:space="preserve">The INFF roadmap </w:t>
      </w:r>
      <w:r w:rsidR="00303BD2" w:rsidRPr="00CD3D9C">
        <w:rPr>
          <w:szCs w:val="20"/>
        </w:rPr>
        <w:t>that is currently being developed will</w:t>
      </w:r>
      <w:r w:rsidR="00BB492E" w:rsidRPr="00CD3D9C">
        <w:rPr>
          <w:szCs w:val="20"/>
        </w:rPr>
        <w:t xml:space="preserve"> outline</w:t>
      </w:r>
      <w:r w:rsidR="00303BD2" w:rsidRPr="00CD3D9C">
        <w:rPr>
          <w:szCs w:val="20"/>
        </w:rPr>
        <w:t xml:space="preserve"> the</w:t>
      </w:r>
      <w:r w:rsidR="00BB492E" w:rsidRPr="00CD3D9C">
        <w:rPr>
          <w:szCs w:val="20"/>
        </w:rPr>
        <w:t xml:space="preserve"> process for determining the indicators that will be included and the data sources and systems for accessing the required data.</w:t>
      </w:r>
      <w:r w:rsidR="00DB15F8">
        <w:rPr>
          <w:szCs w:val="20"/>
        </w:rPr>
        <w:t xml:space="preserve"> The </w:t>
      </w:r>
      <w:r w:rsidR="006F548C">
        <w:rPr>
          <w:szCs w:val="20"/>
        </w:rPr>
        <w:t>monitoring and evaluation framework</w:t>
      </w:r>
      <w:r w:rsidR="00BB492E" w:rsidRPr="00CD3D9C">
        <w:rPr>
          <w:szCs w:val="20"/>
        </w:rPr>
        <w:t xml:space="preserve"> </w:t>
      </w:r>
      <w:r w:rsidR="006F548C">
        <w:rPr>
          <w:szCs w:val="20"/>
        </w:rPr>
        <w:t>will outline</w:t>
      </w:r>
      <w:r w:rsidR="00BB492E" w:rsidRPr="00CD3D9C">
        <w:rPr>
          <w:szCs w:val="20"/>
        </w:rPr>
        <w:t xml:space="preserve"> timelines for set-up and regularity of monitoring and reporting once the </w:t>
      </w:r>
      <w:r w:rsidR="00303BD2" w:rsidRPr="00CD3D9C">
        <w:rPr>
          <w:szCs w:val="20"/>
        </w:rPr>
        <w:t>INFF process</w:t>
      </w:r>
      <w:r w:rsidR="00BB492E" w:rsidRPr="00CD3D9C">
        <w:rPr>
          <w:szCs w:val="20"/>
        </w:rPr>
        <w:t xml:space="preserve"> is </w:t>
      </w:r>
      <w:r w:rsidR="00303BD2" w:rsidRPr="00CD3D9C">
        <w:rPr>
          <w:szCs w:val="20"/>
        </w:rPr>
        <w:t xml:space="preserve">fully </w:t>
      </w:r>
      <w:r w:rsidR="00BB492E" w:rsidRPr="00CD3D9C">
        <w:rPr>
          <w:szCs w:val="20"/>
        </w:rPr>
        <w:t>operational</w:t>
      </w:r>
      <w:r w:rsidR="001E416A" w:rsidRPr="00CD3D9C">
        <w:rPr>
          <w:szCs w:val="20"/>
        </w:rPr>
        <w:t>.</w:t>
      </w:r>
    </w:p>
    <w:p w14:paraId="328854BE" w14:textId="046F873E" w:rsidR="0012551F" w:rsidRDefault="0012551F" w:rsidP="00EC682C">
      <w:pPr>
        <w:rPr>
          <w:b/>
          <w:color w:val="2F5496" w:themeColor="accent1" w:themeShade="BF"/>
          <w:szCs w:val="20"/>
        </w:rPr>
      </w:pPr>
    </w:p>
    <w:p w14:paraId="14632950" w14:textId="6906C3B0" w:rsidR="0012551F" w:rsidRPr="00CD3D9C" w:rsidRDefault="0012551F" w:rsidP="00EC682C">
      <w:pPr>
        <w:rPr>
          <w:szCs w:val="20"/>
        </w:rPr>
      </w:pPr>
      <w:r w:rsidRPr="00CD3D9C">
        <w:rPr>
          <w:szCs w:val="20"/>
        </w:rPr>
        <w:lastRenderedPageBreak/>
        <w:t xml:space="preserve">Output 3.2 </w:t>
      </w:r>
      <w:r w:rsidR="00A522D3" w:rsidRPr="00CD3D9C">
        <w:rPr>
          <w:szCs w:val="20"/>
        </w:rPr>
        <w:t>will provide a series of capacity building</w:t>
      </w:r>
      <w:r w:rsidR="0033185A">
        <w:rPr>
          <w:szCs w:val="20"/>
        </w:rPr>
        <w:t xml:space="preserve"> trainings</w:t>
      </w:r>
      <w:r w:rsidR="00A522D3" w:rsidRPr="00CD3D9C">
        <w:rPr>
          <w:szCs w:val="20"/>
        </w:rPr>
        <w:t xml:space="preserve"> and mentoring support to the INFF </w:t>
      </w:r>
      <w:r w:rsidR="00303BD2" w:rsidRPr="00CD3D9C">
        <w:rPr>
          <w:szCs w:val="20"/>
        </w:rPr>
        <w:t>Oversight Committee</w:t>
      </w:r>
      <w:r w:rsidR="00A522D3" w:rsidRPr="00CD3D9C">
        <w:rPr>
          <w:szCs w:val="20"/>
        </w:rPr>
        <w:t xml:space="preserve">. The INFF </w:t>
      </w:r>
      <w:r w:rsidR="00303BD2" w:rsidRPr="00CD3D9C">
        <w:rPr>
          <w:szCs w:val="20"/>
        </w:rPr>
        <w:t xml:space="preserve">Oversight Committee members </w:t>
      </w:r>
      <w:r w:rsidR="00A522D3" w:rsidRPr="00CD3D9C">
        <w:rPr>
          <w:szCs w:val="20"/>
        </w:rPr>
        <w:t xml:space="preserve">will be equipped to </w:t>
      </w:r>
      <w:r w:rsidR="00987D92" w:rsidRPr="00CD3D9C">
        <w:rPr>
          <w:szCs w:val="20"/>
        </w:rPr>
        <w:t xml:space="preserve">build coherence across various financing policies, to </w:t>
      </w:r>
      <w:r w:rsidR="00A522D3" w:rsidRPr="00CD3D9C">
        <w:rPr>
          <w:szCs w:val="20"/>
        </w:rPr>
        <w:t>advocate and</w:t>
      </w:r>
      <w:r w:rsidR="00987D92" w:rsidRPr="00CD3D9C">
        <w:rPr>
          <w:szCs w:val="20"/>
        </w:rPr>
        <w:t xml:space="preserve"> build dialogue with a broad range of financing actors. The capacity building support will ensure that the INFF Oversight Committee is well </w:t>
      </w:r>
      <w:r w:rsidR="00987D92" w:rsidRPr="007D5FBC">
        <w:rPr>
          <w:szCs w:val="20"/>
        </w:rPr>
        <w:t xml:space="preserve">positioned to </w:t>
      </w:r>
      <w:r w:rsidR="00A522D3" w:rsidRPr="007D5FBC">
        <w:rPr>
          <w:szCs w:val="20"/>
        </w:rPr>
        <w:t>promote</w:t>
      </w:r>
      <w:r w:rsidR="00EC57A9" w:rsidRPr="007D5FBC">
        <w:rPr>
          <w:szCs w:val="20"/>
        </w:rPr>
        <w:t xml:space="preserve"> the </w:t>
      </w:r>
      <w:r w:rsidR="00743F0E" w:rsidRPr="007D5FBC">
        <w:rPr>
          <w:color w:val="000000" w:themeColor="text1"/>
          <w:szCs w:val="20"/>
        </w:rPr>
        <w:t>National Integrated Financing Strategy</w:t>
      </w:r>
      <w:r w:rsidR="00A522D3" w:rsidRPr="007D5FBC">
        <w:rPr>
          <w:szCs w:val="20"/>
        </w:rPr>
        <w:t xml:space="preserve"> nationally and overseas.</w:t>
      </w:r>
      <w:r w:rsidR="00997BC8" w:rsidRPr="007D5FBC">
        <w:rPr>
          <w:szCs w:val="20"/>
        </w:rPr>
        <w:t xml:space="preserve"> </w:t>
      </w:r>
      <w:bookmarkStart w:id="28" w:name="_Hlk34922916"/>
      <w:r w:rsidR="00997BC8" w:rsidRPr="007D5FBC">
        <w:rPr>
          <w:szCs w:val="20"/>
        </w:rPr>
        <w:t xml:space="preserve">The capacity building support to the INFF Oversight Committee will </w:t>
      </w:r>
      <w:r w:rsidR="007D5FBC" w:rsidRPr="007D5FBC">
        <w:rPr>
          <w:szCs w:val="20"/>
        </w:rPr>
        <w:t xml:space="preserve">include sensitization sessions to build the committee member’s advocacy on </w:t>
      </w:r>
      <w:r w:rsidR="00997BC8" w:rsidRPr="007D5FBC">
        <w:t>strategies and policies that advance gender equality</w:t>
      </w:r>
      <w:r w:rsidR="00997BC8" w:rsidRPr="007D5FBC">
        <w:rPr>
          <w:szCs w:val="20"/>
        </w:rPr>
        <w:t>.</w:t>
      </w:r>
      <w:r w:rsidR="00A522D3" w:rsidRPr="00CD3D9C">
        <w:rPr>
          <w:szCs w:val="20"/>
        </w:rPr>
        <w:t xml:space="preserve"> </w:t>
      </w:r>
      <w:bookmarkEnd w:id="28"/>
      <w:r w:rsidR="00A522D3" w:rsidRPr="00CD3D9C">
        <w:rPr>
          <w:szCs w:val="20"/>
        </w:rPr>
        <w:t>Similarly, capacity building will be provided to existing government led public-private dialogue platforms</w:t>
      </w:r>
      <w:r w:rsidR="0033185A">
        <w:rPr>
          <w:szCs w:val="20"/>
        </w:rPr>
        <w:t>,</w:t>
      </w:r>
      <w:r w:rsidR="00A522D3" w:rsidRPr="00CD3D9C">
        <w:rPr>
          <w:szCs w:val="20"/>
        </w:rPr>
        <w:t xml:space="preserve"> such as the business councils, the trade facilitation committee and the PPP steering committee</w:t>
      </w:r>
      <w:r w:rsidR="0033185A">
        <w:rPr>
          <w:szCs w:val="20"/>
        </w:rPr>
        <w:t>,</w:t>
      </w:r>
      <w:r w:rsidR="00A522D3" w:rsidRPr="00CD3D9C">
        <w:rPr>
          <w:szCs w:val="20"/>
        </w:rPr>
        <w:t xml:space="preserve"> to reactivate their </w:t>
      </w:r>
      <w:r w:rsidR="0033185A">
        <w:rPr>
          <w:szCs w:val="20"/>
        </w:rPr>
        <w:t xml:space="preserve">platforms </w:t>
      </w:r>
      <w:r w:rsidR="00A522D3" w:rsidRPr="00CD3D9C">
        <w:rPr>
          <w:szCs w:val="20"/>
        </w:rPr>
        <w:t>(as currently they are dormant)</w:t>
      </w:r>
      <w:r w:rsidR="0033185A">
        <w:rPr>
          <w:szCs w:val="20"/>
        </w:rPr>
        <w:t>, to improve</w:t>
      </w:r>
      <w:r w:rsidR="00A522D3" w:rsidRPr="00CD3D9C">
        <w:rPr>
          <w:szCs w:val="20"/>
        </w:rPr>
        <w:t xml:space="preserve"> effectiveness and to develop incentives for private sector cooperation </w:t>
      </w:r>
      <w:r w:rsidR="006A3A6C" w:rsidRPr="00CD3D9C">
        <w:rPr>
          <w:szCs w:val="20"/>
        </w:rPr>
        <w:t xml:space="preserve">for the </w:t>
      </w:r>
      <w:r w:rsidR="00743F0E" w:rsidRPr="00CD3D9C">
        <w:rPr>
          <w:color w:val="000000" w:themeColor="text1"/>
          <w:szCs w:val="20"/>
        </w:rPr>
        <w:t>National Integrated Financing Strategy</w:t>
      </w:r>
      <w:r w:rsidR="00A522D3" w:rsidRPr="00CD3D9C">
        <w:rPr>
          <w:szCs w:val="20"/>
        </w:rPr>
        <w:t>. Similarly, public-private dialogues, feedback mechanisms and advocacy targeting business actors, business associations</w:t>
      </w:r>
      <w:r w:rsidR="00987D92" w:rsidRPr="00CD3D9C">
        <w:rPr>
          <w:szCs w:val="20"/>
        </w:rPr>
        <w:t>, philanthropists</w:t>
      </w:r>
      <w:r w:rsidR="00A522D3" w:rsidRPr="00CD3D9C">
        <w:rPr>
          <w:szCs w:val="20"/>
        </w:rPr>
        <w:t xml:space="preserve"> and the Global Compact Maldives Network members will be carried out to build their role and partnership in the implementation of the integrated financing strategy (outcome 1). UNDP will provide the capacity building for the INFF </w:t>
      </w:r>
      <w:r w:rsidR="00303BD2" w:rsidRPr="00CD3D9C">
        <w:rPr>
          <w:szCs w:val="20"/>
        </w:rPr>
        <w:t>Oversight Committee</w:t>
      </w:r>
      <w:r w:rsidR="00A522D3" w:rsidRPr="00CD3D9C">
        <w:rPr>
          <w:szCs w:val="20"/>
        </w:rPr>
        <w:t xml:space="preserve"> and UNICEF will provide the capacity building support for the public-private platforms and advocacy targeting the business actors and associations.</w:t>
      </w:r>
      <w:r w:rsidR="00CB04B4" w:rsidRPr="00CD3D9C">
        <w:rPr>
          <w:szCs w:val="20"/>
        </w:rPr>
        <w:t xml:space="preserve"> </w:t>
      </w:r>
    </w:p>
    <w:p w14:paraId="6A5CAC2F" w14:textId="77777777" w:rsidR="0012551F" w:rsidRPr="00CD3D9C" w:rsidRDefault="0012551F" w:rsidP="0081556D">
      <w:pPr>
        <w:jc w:val="both"/>
        <w:rPr>
          <w:b/>
          <w:color w:val="2F5496" w:themeColor="accent1" w:themeShade="BF"/>
          <w:szCs w:val="20"/>
        </w:rPr>
      </w:pPr>
    </w:p>
    <w:p w14:paraId="57F2BF11" w14:textId="4ED22B6B" w:rsidR="0029232A" w:rsidRDefault="00555B68" w:rsidP="00EC682C">
      <w:pPr>
        <w:rPr>
          <w:szCs w:val="20"/>
        </w:rPr>
      </w:pPr>
      <w:r w:rsidRPr="00CD3D9C">
        <w:rPr>
          <w:szCs w:val="20"/>
        </w:rPr>
        <w:t>At the end of the JP, the Maldives is expected to have a solid and effective INFF process</w:t>
      </w:r>
      <w:r w:rsidR="005826B9" w:rsidRPr="00CD3D9C">
        <w:rPr>
          <w:szCs w:val="20"/>
        </w:rPr>
        <w:t xml:space="preserve"> that will accelerate the achievement of the Agenda 2030 in the Maldives</w:t>
      </w:r>
      <w:r w:rsidRPr="00CD3D9C">
        <w:rPr>
          <w:szCs w:val="20"/>
        </w:rPr>
        <w:t>. While the JP supports the</w:t>
      </w:r>
      <w:r w:rsidR="00987D92" w:rsidRPr="00CD3D9C">
        <w:rPr>
          <w:szCs w:val="20"/>
        </w:rPr>
        <w:t xml:space="preserve"> set up and</w:t>
      </w:r>
      <w:r w:rsidRPr="00CD3D9C">
        <w:rPr>
          <w:szCs w:val="20"/>
        </w:rPr>
        <w:t xml:space="preserve"> </w:t>
      </w:r>
      <w:r w:rsidR="00987D92" w:rsidRPr="00CD3D9C">
        <w:rPr>
          <w:szCs w:val="20"/>
        </w:rPr>
        <w:t>operationalizing of</w:t>
      </w:r>
      <w:r w:rsidRPr="00CD3D9C">
        <w:rPr>
          <w:szCs w:val="20"/>
        </w:rPr>
        <w:t xml:space="preserve"> the INFF </w:t>
      </w:r>
      <w:r w:rsidR="000671F4">
        <w:rPr>
          <w:szCs w:val="20"/>
        </w:rPr>
        <w:t xml:space="preserve">in the country </w:t>
      </w:r>
      <w:r w:rsidRPr="00CD3D9C">
        <w:rPr>
          <w:szCs w:val="20"/>
        </w:rPr>
        <w:t>through developing the integrated financing strategy and developing the national architecture for</w:t>
      </w:r>
      <w:r w:rsidR="00987D92" w:rsidRPr="00CD3D9C">
        <w:rPr>
          <w:szCs w:val="20"/>
        </w:rPr>
        <w:t xml:space="preserve"> coherent</w:t>
      </w:r>
      <w:r w:rsidRPr="00CD3D9C">
        <w:rPr>
          <w:szCs w:val="20"/>
        </w:rPr>
        <w:t xml:space="preserve"> planning and financing, the INFF </w:t>
      </w:r>
      <w:r w:rsidR="000671F4">
        <w:rPr>
          <w:szCs w:val="20"/>
        </w:rPr>
        <w:t>operationalization</w:t>
      </w:r>
      <w:r w:rsidRPr="00CD3D9C">
        <w:rPr>
          <w:szCs w:val="20"/>
        </w:rPr>
        <w:t xml:space="preserve"> is expected to sustain </w:t>
      </w:r>
      <w:r w:rsidR="000671F4">
        <w:rPr>
          <w:szCs w:val="20"/>
        </w:rPr>
        <w:t xml:space="preserve">results </w:t>
      </w:r>
      <w:r w:rsidRPr="00CD3D9C">
        <w:rPr>
          <w:szCs w:val="20"/>
        </w:rPr>
        <w:t xml:space="preserve">beyond the timeframe of the JP. </w:t>
      </w:r>
      <w:r w:rsidR="0029232A">
        <w:rPr>
          <w:szCs w:val="20"/>
        </w:rPr>
        <w:t>It is expected that this will result in:</w:t>
      </w:r>
    </w:p>
    <w:p w14:paraId="58926DAC" w14:textId="5184A420" w:rsidR="0029232A" w:rsidRDefault="0029232A" w:rsidP="00EC682C">
      <w:pPr>
        <w:pStyle w:val="ListParagraph"/>
        <w:numPr>
          <w:ilvl w:val="0"/>
          <w:numId w:val="46"/>
        </w:numPr>
        <w:rPr>
          <w:szCs w:val="20"/>
        </w:rPr>
      </w:pPr>
      <w:r w:rsidRPr="0029232A">
        <w:rPr>
          <w:szCs w:val="20"/>
        </w:rPr>
        <w:t>greater cross-government coordination, coherence and prioritization across public and private financing policies and deeper alignment of financing policies with sustainable development priorities</w:t>
      </w:r>
    </w:p>
    <w:p w14:paraId="74CDBEB5" w14:textId="77777777" w:rsidR="0029232A" w:rsidRDefault="0029232A" w:rsidP="00EC682C">
      <w:pPr>
        <w:pStyle w:val="ListParagraph"/>
        <w:numPr>
          <w:ilvl w:val="0"/>
          <w:numId w:val="46"/>
        </w:numPr>
        <w:rPr>
          <w:szCs w:val="20"/>
        </w:rPr>
      </w:pPr>
      <w:r w:rsidRPr="0029232A">
        <w:rPr>
          <w:szCs w:val="20"/>
        </w:rPr>
        <w:t>stronger monitoring of the investments and impact of public and private financing,</w:t>
      </w:r>
    </w:p>
    <w:p w14:paraId="1D185E70" w14:textId="53581295" w:rsidR="00555B68" w:rsidRPr="0029232A" w:rsidRDefault="0029232A" w:rsidP="00EC682C">
      <w:pPr>
        <w:pStyle w:val="ListParagraph"/>
        <w:numPr>
          <w:ilvl w:val="0"/>
          <w:numId w:val="46"/>
        </w:numPr>
        <w:rPr>
          <w:szCs w:val="20"/>
        </w:rPr>
      </w:pPr>
      <w:r w:rsidRPr="0029232A">
        <w:rPr>
          <w:szCs w:val="20"/>
        </w:rPr>
        <w:t>stronger dialogue and collaboration on financing policy between government and other non-state stakeholders</w:t>
      </w:r>
    </w:p>
    <w:p w14:paraId="2365DB9F" w14:textId="77777777" w:rsidR="00822C98" w:rsidRPr="00CD3D9C" w:rsidRDefault="00822C98" w:rsidP="0081556D">
      <w:pPr>
        <w:jc w:val="both"/>
        <w:rPr>
          <w:i/>
          <w:color w:val="70AD47" w:themeColor="accent6"/>
          <w:szCs w:val="20"/>
        </w:rPr>
      </w:pPr>
    </w:p>
    <w:p w14:paraId="45EA861E" w14:textId="5B328566" w:rsidR="00822C98" w:rsidRPr="00CD3D9C" w:rsidRDefault="00555B68" w:rsidP="00EC682C">
      <w:pPr>
        <w:pStyle w:val="NoSpacing"/>
        <w:rPr>
          <w:szCs w:val="20"/>
        </w:rPr>
      </w:pPr>
      <w:r w:rsidRPr="00CD3D9C">
        <w:rPr>
          <w:szCs w:val="20"/>
        </w:rPr>
        <w:t xml:space="preserve">Table 1 in section 1.2 above indicates the SDG targets that are directly relevant to the JP. It is expected that short-term progress indicators will be visible at the end of JP. More importantly, the JP will support the Government of Maldives </w:t>
      </w:r>
      <w:r w:rsidR="00E36DEE">
        <w:rPr>
          <w:szCs w:val="20"/>
        </w:rPr>
        <w:t>in</w:t>
      </w:r>
      <w:r w:rsidRPr="00CD3D9C">
        <w:rPr>
          <w:szCs w:val="20"/>
        </w:rPr>
        <w:t xml:space="preserve"> accurately measuring and tracking progress of these targets up to 2030. </w:t>
      </w:r>
    </w:p>
    <w:p w14:paraId="51280F21" w14:textId="77777777" w:rsidR="00822C98" w:rsidRPr="00CD3D9C" w:rsidRDefault="00822C98" w:rsidP="0081556D">
      <w:pPr>
        <w:jc w:val="both"/>
        <w:rPr>
          <w:i/>
          <w:color w:val="C45911" w:themeColor="accent2" w:themeShade="BF"/>
          <w:szCs w:val="20"/>
        </w:rPr>
      </w:pPr>
    </w:p>
    <w:p w14:paraId="34B23382" w14:textId="571BF321" w:rsidR="00BB0843" w:rsidRPr="00FB4EF5" w:rsidRDefault="008F5D73" w:rsidP="00EC682C">
      <w:pPr>
        <w:rPr>
          <w:szCs w:val="20"/>
        </w:rPr>
      </w:pPr>
      <w:r w:rsidRPr="00FB4EF5">
        <w:rPr>
          <w:szCs w:val="20"/>
        </w:rPr>
        <w:t>The overall goal is that the population benefits from increased climate resilience</w:t>
      </w:r>
      <w:r w:rsidR="00E36DEE">
        <w:rPr>
          <w:szCs w:val="20"/>
        </w:rPr>
        <w:t>, and receives</w:t>
      </w:r>
      <w:r w:rsidRPr="00FB4EF5">
        <w:rPr>
          <w:szCs w:val="20"/>
        </w:rPr>
        <w:t xml:space="preserve"> </w:t>
      </w:r>
      <w:r w:rsidR="00D25481">
        <w:t xml:space="preserve">more </w:t>
      </w:r>
      <w:r w:rsidRPr="008F6500">
        <w:t>equitable social services</w:t>
      </w:r>
      <w:r w:rsidR="00E36DEE">
        <w:t>,</w:t>
      </w:r>
      <w:r w:rsidRPr="00FB4EF5">
        <w:rPr>
          <w:szCs w:val="20"/>
        </w:rPr>
        <w:t xml:space="preserve"> </w:t>
      </w:r>
      <w:r w:rsidR="00E36DEE">
        <w:rPr>
          <w:szCs w:val="20"/>
        </w:rPr>
        <w:t xml:space="preserve">which </w:t>
      </w:r>
      <w:r w:rsidR="00562507" w:rsidRPr="00FB4EF5">
        <w:rPr>
          <w:szCs w:val="20"/>
        </w:rPr>
        <w:t>advance the</w:t>
      </w:r>
      <w:r w:rsidRPr="00FB4EF5">
        <w:rPr>
          <w:szCs w:val="20"/>
        </w:rPr>
        <w:t xml:space="preserve"> SDGs</w:t>
      </w:r>
      <w:r w:rsidR="00A75A6D">
        <w:rPr>
          <w:szCs w:val="20"/>
        </w:rPr>
        <w:t xml:space="preserve"> in the Maldives</w:t>
      </w:r>
      <w:r w:rsidR="00A14D9F" w:rsidRPr="00FB4EF5">
        <w:rPr>
          <w:szCs w:val="20"/>
        </w:rPr>
        <w:t>.</w:t>
      </w:r>
      <w:r w:rsidRPr="00FB4EF5">
        <w:rPr>
          <w:szCs w:val="20"/>
        </w:rPr>
        <w:t xml:space="preserve"> </w:t>
      </w:r>
      <w:r w:rsidR="0010275D" w:rsidRPr="00FB4EF5">
        <w:rPr>
          <w:szCs w:val="20"/>
        </w:rPr>
        <w:t xml:space="preserve">The JP’s </w:t>
      </w:r>
      <w:r w:rsidR="00BB0843" w:rsidRPr="00FB4EF5">
        <w:rPr>
          <w:szCs w:val="20"/>
        </w:rPr>
        <w:t xml:space="preserve">expected </w:t>
      </w:r>
      <w:r w:rsidR="0010275D" w:rsidRPr="00FB4EF5">
        <w:rPr>
          <w:szCs w:val="20"/>
        </w:rPr>
        <w:t xml:space="preserve">impact </w:t>
      </w:r>
      <w:r w:rsidR="00BB0843" w:rsidRPr="00FB4EF5">
        <w:rPr>
          <w:szCs w:val="20"/>
        </w:rPr>
        <w:t xml:space="preserve">is to ensure that the Government of Maldives is better equipped than it is </w:t>
      </w:r>
      <w:r w:rsidR="007E1B3C" w:rsidRPr="00FB4EF5">
        <w:rPr>
          <w:szCs w:val="20"/>
        </w:rPr>
        <w:t xml:space="preserve">presently </w:t>
      </w:r>
      <w:r w:rsidR="00A75A6D">
        <w:rPr>
          <w:szCs w:val="20"/>
        </w:rPr>
        <w:t>to</w:t>
      </w:r>
      <w:r w:rsidR="005A5C2B">
        <w:rPr>
          <w:szCs w:val="20"/>
        </w:rPr>
        <w:t xml:space="preserve"> mitigate the impacts of the ongoing Covid-19 crisis on the Maldives SDG performance and to prioritize</w:t>
      </w:r>
      <w:r w:rsidR="00A75A6D">
        <w:rPr>
          <w:szCs w:val="20"/>
        </w:rPr>
        <w:t xml:space="preserve"> </w:t>
      </w:r>
      <w:r w:rsidR="00BB0843" w:rsidRPr="00FB4EF5">
        <w:rPr>
          <w:szCs w:val="20"/>
        </w:rPr>
        <w:t xml:space="preserve">the country’s long-term needs for achieving </w:t>
      </w:r>
      <w:r w:rsidR="005A5C2B">
        <w:rPr>
          <w:szCs w:val="20"/>
        </w:rPr>
        <w:t xml:space="preserve">SDGs. This includes </w:t>
      </w:r>
      <w:r w:rsidR="00BB0843" w:rsidRPr="00FB4EF5">
        <w:rPr>
          <w:szCs w:val="20"/>
        </w:rPr>
        <w:t>climate resilience and equitable social services</w:t>
      </w:r>
      <w:r w:rsidR="006118C3" w:rsidRPr="00FB4EF5">
        <w:rPr>
          <w:szCs w:val="20"/>
        </w:rPr>
        <w:t xml:space="preserve"> </w:t>
      </w:r>
      <w:r w:rsidR="006118C3" w:rsidRPr="008F6500">
        <w:t>that empower girls, boys and women to develop their full potenti</w:t>
      </w:r>
      <w:r w:rsidR="006118C3" w:rsidRPr="00FB4EF5">
        <w:rPr>
          <w:szCs w:val="20"/>
        </w:rPr>
        <w:t>al</w:t>
      </w:r>
      <w:r w:rsidR="00BB0843" w:rsidRPr="00FB4EF5">
        <w:rPr>
          <w:szCs w:val="20"/>
        </w:rPr>
        <w:t xml:space="preserve">. </w:t>
      </w:r>
      <w:bookmarkStart w:id="29" w:name="_Hlk34835687"/>
      <w:r w:rsidR="00A75A6D">
        <w:rPr>
          <w:szCs w:val="20"/>
        </w:rPr>
        <w:t xml:space="preserve">The JP will make a significant contribution to the </w:t>
      </w:r>
      <w:r w:rsidR="00BB0843" w:rsidRPr="00FB4EF5">
        <w:rPr>
          <w:szCs w:val="20"/>
        </w:rPr>
        <w:t xml:space="preserve">SDG targets relevant to </w:t>
      </w:r>
      <w:bookmarkStart w:id="30" w:name="_Hlk34836030"/>
      <w:r w:rsidR="00BB0843" w:rsidRPr="00FB4EF5">
        <w:rPr>
          <w:szCs w:val="20"/>
        </w:rPr>
        <w:t xml:space="preserve">climate action (Goal 2, 6, 7, 11, 14, 15) and social services (Goal </w:t>
      </w:r>
      <w:r w:rsidR="005A5C2B">
        <w:rPr>
          <w:szCs w:val="20"/>
        </w:rPr>
        <w:t xml:space="preserve">1, </w:t>
      </w:r>
      <w:r w:rsidR="00BB0843" w:rsidRPr="00FB4EF5">
        <w:rPr>
          <w:szCs w:val="20"/>
        </w:rPr>
        <w:t>2, 3, 4, 5, 7, 10)</w:t>
      </w:r>
      <w:bookmarkEnd w:id="29"/>
      <w:bookmarkEnd w:id="30"/>
      <w:r w:rsidR="005A5C2B">
        <w:rPr>
          <w:szCs w:val="20"/>
        </w:rPr>
        <w:t xml:space="preserve">. </w:t>
      </w:r>
      <w:r w:rsidR="00B673D6" w:rsidRPr="00FB4EF5">
        <w:rPr>
          <w:szCs w:val="20"/>
        </w:rPr>
        <w:t>This will be achieved through the JP by ensuring that</w:t>
      </w:r>
      <w:r w:rsidR="00BB0843" w:rsidRPr="00FB4EF5">
        <w:rPr>
          <w:szCs w:val="20"/>
        </w:rPr>
        <w:t xml:space="preserve"> government </w:t>
      </w:r>
      <w:r w:rsidR="00B673D6" w:rsidRPr="00FB4EF5">
        <w:rPr>
          <w:szCs w:val="20"/>
        </w:rPr>
        <w:t>has</w:t>
      </w:r>
      <w:r w:rsidR="00BB0843" w:rsidRPr="00FB4EF5">
        <w:rPr>
          <w:szCs w:val="20"/>
        </w:rPr>
        <w:t xml:space="preserve"> the necessary capacity</w:t>
      </w:r>
      <w:r w:rsidR="00B673D6" w:rsidRPr="00FB4EF5">
        <w:rPr>
          <w:szCs w:val="20"/>
        </w:rPr>
        <w:t xml:space="preserve"> to</w:t>
      </w:r>
      <w:r w:rsidR="00BB0843" w:rsidRPr="00FB4EF5">
        <w:rPr>
          <w:szCs w:val="20"/>
        </w:rPr>
        <w:t xml:space="preserve"> draw financing from a wider range of sources for climate action and social service delivery. </w:t>
      </w:r>
      <w:r w:rsidR="00024A89" w:rsidRPr="00FB4EF5">
        <w:rPr>
          <w:szCs w:val="20"/>
        </w:rPr>
        <w:t xml:space="preserve">The Government of Maldives will have the capacity to implement a more integrated, holistic approach to financing national sustainable development. </w:t>
      </w:r>
      <w:r w:rsidR="00BB0843" w:rsidRPr="00FB4EF5">
        <w:rPr>
          <w:szCs w:val="20"/>
        </w:rPr>
        <w:t xml:space="preserve">The national capacity to </w:t>
      </w:r>
      <w:r w:rsidR="00024A89" w:rsidRPr="00FB4EF5">
        <w:rPr>
          <w:szCs w:val="20"/>
        </w:rPr>
        <w:t>engage</w:t>
      </w:r>
      <w:r w:rsidR="00BB0843" w:rsidRPr="00FB4EF5">
        <w:rPr>
          <w:szCs w:val="20"/>
        </w:rPr>
        <w:t xml:space="preserve"> with a broader range of stakeholders will be enhanced. </w:t>
      </w:r>
      <w:r w:rsidR="00B673D6" w:rsidRPr="00FB4EF5">
        <w:rPr>
          <w:szCs w:val="20"/>
        </w:rPr>
        <w:t>Climate action and equitable</w:t>
      </w:r>
      <w:r w:rsidR="00024A89" w:rsidRPr="00FB4EF5">
        <w:rPr>
          <w:szCs w:val="20"/>
        </w:rPr>
        <w:t xml:space="preserve"> social</w:t>
      </w:r>
      <w:r w:rsidR="00B673D6" w:rsidRPr="00FB4EF5">
        <w:rPr>
          <w:szCs w:val="20"/>
        </w:rPr>
        <w:t xml:space="preserve"> service delivery will be at the heart of </w:t>
      </w:r>
      <w:r w:rsidR="00BB0843" w:rsidRPr="00FB4EF5">
        <w:rPr>
          <w:szCs w:val="20"/>
        </w:rPr>
        <w:t xml:space="preserve">national planning and financing processes </w:t>
      </w:r>
      <w:r w:rsidR="00B673D6" w:rsidRPr="00FB4EF5">
        <w:rPr>
          <w:szCs w:val="20"/>
        </w:rPr>
        <w:t xml:space="preserve">and will be coherently managed. </w:t>
      </w:r>
    </w:p>
    <w:p w14:paraId="5E63FDF4" w14:textId="3D126D2E" w:rsidR="00BB0843" w:rsidRPr="00FB4EF5" w:rsidRDefault="00BB0843" w:rsidP="0081556D">
      <w:pPr>
        <w:jc w:val="both"/>
        <w:rPr>
          <w:szCs w:val="20"/>
        </w:rPr>
      </w:pPr>
    </w:p>
    <w:p w14:paraId="308F5354" w14:textId="1D4CC930" w:rsidR="008F5D73" w:rsidRPr="00CD3D9C" w:rsidRDefault="00B673D6" w:rsidP="00024A89">
      <w:pPr>
        <w:rPr>
          <w:szCs w:val="20"/>
        </w:rPr>
      </w:pPr>
      <w:r w:rsidRPr="00FB4EF5">
        <w:rPr>
          <w:szCs w:val="20"/>
        </w:rPr>
        <w:lastRenderedPageBreak/>
        <w:t xml:space="preserve">The impact population of these reforms include </w:t>
      </w:r>
      <w:r w:rsidR="005A5C2B">
        <w:rPr>
          <w:szCs w:val="20"/>
        </w:rPr>
        <w:t xml:space="preserve">island </w:t>
      </w:r>
      <w:r w:rsidRPr="00FB4EF5">
        <w:rPr>
          <w:szCs w:val="20"/>
        </w:rPr>
        <w:t>communities that have high exposure to beach erosion, coastal inundation and those that do not have access to solid waste management</w:t>
      </w:r>
      <w:r w:rsidR="00E36DEE">
        <w:rPr>
          <w:szCs w:val="20"/>
        </w:rPr>
        <w:t>,</w:t>
      </w:r>
      <w:r w:rsidRPr="00FB4EF5">
        <w:rPr>
          <w:szCs w:val="20"/>
        </w:rPr>
        <w:t xml:space="preserve"> safe drinking water </w:t>
      </w:r>
      <w:r w:rsidR="00E36DEE">
        <w:rPr>
          <w:szCs w:val="20"/>
        </w:rPr>
        <w:t xml:space="preserve">or </w:t>
      </w:r>
      <w:r w:rsidRPr="00FB4EF5">
        <w:rPr>
          <w:szCs w:val="20"/>
        </w:rPr>
        <w:t>sanitation.</w:t>
      </w:r>
      <w:r w:rsidR="004217CB" w:rsidRPr="00FB4EF5">
        <w:rPr>
          <w:szCs w:val="20"/>
        </w:rPr>
        <w:t xml:space="preserve"> </w:t>
      </w:r>
      <w:r w:rsidR="00024A89" w:rsidRPr="00FB4EF5">
        <w:rPr>
          <w:szCs w:val="20"/>
        </w:rPr>
        <w:t xml:space="preserve">It will include </w:t>
      </w:r>
      <w:r w:rsidR="00024A89" w:rsidRPr="008F6500">
        <w:t>women,</w:t>
      </w:r>
      <w:r w:rsidR="00024A89" w:rsidRPr="00FB4EF5">
        <w:rPr>
          <w:szCs w:val="20"/>
        </w:rPr>
        <w:t xml:space="preserve"> unemployed</w:t>
      </w:r>
      <w:r w:rsidR="00024A89" w:rsidRPr="00CD3D9C">
        <w:rPr>
          <w:szCs w:val="20"/>
        </w:rPr>
        <w:t xml:space="preserve"> and at-risk youth, elderly</w:t>
      </w:r>
      <w:r w:rsidR="00E36DEE">
        <w:rPr>
          <w:szCs w:val="20"/>
        </w:rPr>
        <w:t xml:space="preserve"> persons</w:t>
      </w:r>
      <w:r w:rsidR="00024A89" w:rsidRPr="00CD3D9C">
        <w:rPr>
          <w:szCs w:val="20"/>
        </w:rPr>
        <w:t>,</w:t>
      </w:r>
      <w:r w:rsidR="008D370F">
        <w:rPr>
          <w:szCs w:val="20"/>
        </w:rPr>
        <w:t xml:space="preserve"> </w:t>
      </w:r>
      <w:r w:rsidR="008D370F" w:rsidRPr="005E36D2">
        <w:rPr>
          <w:szCs w:val="20"/>
        </w:rPr>
        <w:t>persons with disabilities,</w:t>
      </w:r>
      <w:r w:rsidR="00024A89" w:rsidRPr="005E36D2">
        <w:rPr>
          <w:szCs w:val="20"/>
        </w:rPr>
        <w:t xml:space="preserve"> children</w:t>
      </w:r>
      <w:r w:rsidR="00024A89" w:rsidRPr="00CD3D9C">
        <w:rPr>
          <w:szCs w:val="20"/>
        </w:rPr>
        <w:t>, migrant population</w:t>
      </w:r>
      <w:r w:rsidR="00E36DEE">
        <w:rPr>
          <w:szCs w:val="20"/>
        </w:rPr>
        <w:t>s,</w:t>
      </w:r>
      <w:r w:rsidR="00024A89" w:rsidRPr="00CD3D9C">
        <w:rPr>
          <w:szCs w:val="20"/>
        </w:rPr>
        <w:t xml:space="preserve"> those living in remote islands with high exposure to climate induced disasters</w:t>
      </w:r>
      <w:r w:rsidR="00E36DEE">
        <w:rPr>
          <w:szCs w:val="20"/>
        </w:rPr>
        <w:t>,</w:t>
      </w:r>
      <w:r w:rsidR="00A75A6D">
        <w:rPr>
          <w:szCs w:val="20"/>
        </w:rPr>
        <w:t xml:space="preserve"> and those populations and island economies that are directly affected by the ongoing C</w:t>
      </w:r>
      <w:r w:rsidR="00EA15E4">
        <w:rPr>
          <w:szCs w:val="20"/>
        </w:rPr>
        <w:t>OVID</w:t>
      </w:r>
      <w:r w:rsidR="00A75A6D">
        <w:rPr>
          <w:szCs w:val="20"/>
        </w:rPr>
        <w:t xml:space="preserve">-19 pandemic. </w:t>
      </w:r>
    </w:p>
    <w:p w14:paraId="1E2D1367" w14:textId="77777777" w:rsidR="008F5D73" w:rsidRPr="00CD3D9C" w:rsidRDefault="008F5D73" w:rsidP="004217CB">
      <w:pPr>
        <w:jc w:val="both"/>
        <w:rPr>
          <w:szCs w:val="20"/>
        </w:rPr>
      </w:pPr>
    </w:p>
    <w:p w14:paraId="5047DCBC" w14:textId="4E154079" w:rsidR="00D3432F" w:rsidRPr="00CD3D9C" w:rsidRDefault="004217CB" w:rsidP="008F5D73">
      <w:pPr>
        <w:jc w:val="both"/>
        <w:rPr>
          <w:iCs/>
          <w:color w:val="C45911" w:themeColor="accent2" w:themeShade="BF"/>
          <w:szCs w:val="20"/>
        </w:rPr>
      </w:pPr>
      <w:r w:rsidRPr="00CD3D9C">
        <w:rPr>
          <w:szCs w:val="20"/>
        </w:rPr>
        <w:t xml:space="preserve">A total of 35 SDG indicators are relevant to children across 10 of the 17 SDGs. The current child and youth population makes up around 40 percent of the total population in the Maldives, meaning that significant investments are required to ensure this demographic dividend is taken advantage of for positive development outcomes in the decades to come. </w:t>
      </w:r>
      <w:r w:rsidR="007B2184" w:rsidRPr="00CD3D9C">
        <w:rPr>
          <w:szCs w:val="20"/>
        </w:rPr>
        <w:t>The JP</w:t>
      </w:r>
      <w:r w:rsidR="004773DE" w:rsidRPr="00CD3D9C">
        <w:rPr>
          <w:szCs w:val="20"/>
        </w:rPr>
        <w:t xml:space="preserve"> will contribute to better public health financing and improved human capital for social service provision that will </w:t>
      </w:r>
      <w:r w:rsidR="00E36DEE">
        <w:rPr>
          <w:szCs w:val="20"/>
        </w:rPr>
        <w:t>save</w:t>
      </w:r>
      <w:r w:rsidR="004773DE" w:rsidRPr="00CD3D9C">
        <w:rPr>
          <w:szCs w:val="20"/>
        </w:rPr>
        <w:t xml:space="preserve"> lives, averting morbidities and reducing unplanned and unwanted pregnancies, addressing child health issues, preparing adolescents to take charge of their lives and be more productive in the labour force. </w:t>
      </w:r>
    </w:p>
    <w:p w14:paraId="4D4BF739" w14:textId="77777777" w:rsidR="002C2DDE" w:rsidRPr="00CD3D9C" w:rsidRDefault="002C2DDE" w:rsidP="0081556D">
      <w:pPr>
        <w:jc w:val="both"/>
        <w:rPr>
          <w:i/>
          <w:color w:val="C45911" w:themeColor="accent2" w:themeShade="BF"/>
          <w:szCs w:val="20"/>
        </w:rPr>
      </w:pPr>
    </w:p>
    <w:p w14:paraId="749BF4B8" w14:textId="10A8CC84" w:rsidR="00EC682C" w:rsidRPr="00CD3D9C" w:rsidRDefault="00A81385" w:rsidP="00EC682C">
      <w:pPr>
        <w:jc w:val="both"/>
        <w:rPr>
          <w:i/>
          <w:color w:val="C45911" w:themeColor="accent2" w:themeShade="BF"/>
          <w:szCs w:val="20"/>
        </w:rPr>
      </w:pPr>
      <w:r w:rsidRPr="00CD3D9C">
        <w:rPr>
          <w:b/>
          <w:bCs/>
          <w:color w:val="000000" w:themeColor="text1"/>
          <w:szCs w:val="20"/>
        </w:rPr>
        <w:t>2</w:t>
      </w:r>
      <w:r w:rsidR="00E37CB4" w:rsidRPr="00CD3D9C">
        <w:rPr>
          <w:b/>
          <w:bCs/>
          <w:color w:val="000000" w:themeColor="text1"/>
          <w:szCs w:val="20"/>
        </w:rPr>
        <w:t xml:space="preserve">.4 </w:t>
      </w:r>
      <w:r w:rsidR="0093195D" w:rsidRPr="00CD3D9C">
        <w:rPr>
          <w:b/>
          <w:bCs/>
          <w:color w:val="000000" w:themeColor="text1"/>
          <w:szCs w:val="20"/>
        </w:rPr>
        <w:t>Budget and value for money</w:t>
      </w:r>
      <w:r w:rsidR="00E37CB4" w:rsidRPr="00CD3D9C">
        <w:rPr>
          <w:b/>
          <w:bCs/>
          <w:color w:val="000000" w:themeColor="text1"/>
          <w:szCs w:val="20"/>
        </w:rPr>
        <w:t xml:space="preserve"> </w:t>
      </w:r>
    </w:p>
    <w:p w14:paraId="1FA014F8" w14:textId="77777777" w:rsidR="00EC682C" w:rsidRDefault="00EC682C" w:rsidP="006B0FA7">
      <w:pPr>
        <w:rPr>
          <w:i/>
          <w:color w:val="C45911" w:themeColor="accent2" w:themeShade="BF"/>
          <w:szCs w:val="20"/>
        </w:rPr>
      </w:pPr>
    </w:p>
    <w:p w14:paraId="444C993E" w14:textId="453BBBCA" w:rsidR="00CD4BC9" w:rsidRPr="00CD3D9C" w:rsidRDefault="003A77F2" w:rsidP="006B0FA7">
      <w:pPr>
        <w:rPr>
          <w:szCs w:val="20"/>
        </w:rPr>
      </w:pPr>
      <w:r w:rsidRPr="00CD3D9C">
        <w:rPr>
          <w:szCs w:val="20"/>
        </w:rPr>
        <w:t>The JP achieves value for money in several ways. It scales up existing support on various fronts</w:t>
      </w:r>
      <w:r w:rsidR="00687ED9">
        <w:rPr>
          <w:szCs w:val="20"/>
        </w:rPr>
        <w:t>:</w:t>
      </w:r>
      <w:r w:rsidRPr="00CD3D9C">
        <w:rPr>
          <w:szCs w:val="20"/>
        </w:rPr>
        <w:t xml:space="preserve"> the ongoing DFA exercise</w:t>
      </w:r>
      <w:r w:rsidR="00687ED9">
        <w:rPr>
          <w:szCs w:val="20"/>
        </w:rPr>
        <w:t>;</w:t>
      </w:r>
      <w:r w:rsidRPr="00CD3D9C">
        <w:rPr>
          <w:szCs w:val="20"/>
        </w:rPr>
        <w:t xml:space="preserve"> the ongoing costing exercises of the government</w:t>
      </w:r>
      <w:r w:rsidR="00687ED9">
        <w:rPr>
          <w:szCs w:val="20"/>
        </w:rPr>
        <w:t>;</w:t>
      </w:r>
      <w:r w:rsidRPr="00CD3D9C">
        <w:rPr>
          <w:szCs w:val="20"/>
        </w:rPr>
        <w:t xml:space="preserve"> the ongoing SDG</w:t>
      </w:r>
      <w:r w:rsidR="00B973FF" w:rsidRPr="00CD3D9C">
        <w:rPr>
          <w:szCs w:val="20"/>
        </w:rPr>
        <w:t xml:space="preserve"> stocktaking and</w:t>
      </w:r>
      <w:r w:rsidRPr="00CD3D9C">
        <w:rPr>
          <w:szCs w:val="20"/>
        </w:rPr>
        <w:t xml:space="preserve"> prioritization exercises of the government</w:t>
      </w:r>
      <w:r w:rsidR="00687ED9">
        <w:rPr>
          <w:szCs w:val="20"/>
        </w:rPr>
        <w:t>;</w:t>
      </w:r>
      <w:r w:rsidRPr="00CD3D9C">
        <w:rPr>
          <w:szCs w:val="20"/>
        </w:rPr>
        <w:t xml:space="preserve"> the UNDP climate promise initiative</w:t>
      </w:r>
      <w:r w:rsidR="00687ED9">
        <w:rPr>
          <w:szCs w:val="20"/>
        </w:rPr>
        <w:t>;</w:t>
      </w:r>
      <w:r w:rsidRPr="00CD3D9C">
        <w:rPr>
          <w:szCs w:val="20"/>
        </w:rPr>
        <w:t xml:space="preserve"> and public finance management initiatives for health and social sector. The JP therefore</w:t>
      </w:r>
      <w:r w:rsidR="00F17CED" w:rsidRPr="00CD3D9C">
        <w:rPr>
          <w:szCs w:val="20"/>
        </w:rPr>
        <w:t xml:space="preserve"> builds on existing investments of both the government and development partners. The JP will help piece together the outcomes of the ongoing exercises to</w:t>
      </w:r>
      <w:r w:rsidRPr="00CD3D9C">
        <w:rPr>
          <w:szCs w:val="20"/>
        </w:rPr>
        <w:t xml:space="preserve"> consolidat</w:t>
      </w:r>
      <w:r w:rsidR="00F17CED" w:rsidRPr="00CD3D9C">
        <w:rPr>
          <w:szCs w:val="20"/>
        </w:rPr>
        <w:t>e</w:t>
      </w:r>
      <w:r w:rsidRPr="00CD3D9C">
        <w:rPr>
          <w:szCs w:val="20"/>
        </w:rPr>
        <w:t xml:space="preserve"> the </w:t>
      </w:r>
      <w:r w:rsidR="00743F0E" w:rsidRPr="00CD3D9C">
        <w:rPr>
          <w:color w:val="000000" w:themeColor="text1"/>
          <w:szCs w:val="20"/>
        </w:rPr>
        <w:t>National Integrated Financing Strategy</w:t>
      </w:r>
      <w:r w:rsidR="00F17CED" w:rsidRPr="00CD3D9C">
        <w:rPr>
          <w:szCs w:val="20"/>
        </w:rPr>
        <w:t xml:space="preserve">. </w:t>
      </w:r>
      <w:r w:rsidR="00CD4BC9" w:rsidRPr="00CD3D9C">
        <w:rPr>
          <w:szCs w:val="20"/>
        </w:rPr>
        <w:t xml:space="preserve">Instead of creating new activities, this approach of targeted activities within the ongoing government led </w:t>
      </w:r>
      <w:r w:rsidR="006F548C">
        <w:rPr>
          <w:szCs w:val="20"/>
        </w:rPr>
        <w:t>reforms</w:t>
      </w:r>
      <w:r w:rsidR="00CD4BC9" w:rsidRPr="00CD3D9C">
        <w:rPr>
          <w:szCs w:val="20"/>
        </w:rPr>
        <w:t xml:space="preserve"> brings efficiency and cost savings. </w:t>
      </w:r>
    </w:p>
    <w:p w14:paraId="10FB666C" w14:textId="77777777" w:rsidR="00CD4BC9" w:rsidRPr="00CD3D9C" w:rsidRDefault="00CD4BC9" w:rsidP="006B0FA7">
      <w:pPr>
        <w:rPr>
          <w:szCs w:val="20"/>
        </w:rPr>
      </w:pPr>
    </w:p>
    <w:p w14:paraId="0D7182B5" w14:textId="0B9F3013" w:rsidR="000671F4" w:rsidRPr="00CD3D9C" w:rsidRDefault="000671F4" w:rsidP="000671F4">
      <w:pPr>
        <w:rPr>
          <w:szCs w:val="20"/>
        </w:rPr>
      </w:pPr>
      <w:r w:rsidRPr="00CD3D9C">
        <w:rPr>
          <w:szCs w:val="20"/>
        </w:rPr>
        <w:t xml:space="preserve">The JP will draw on existing collective expertise of the respective PUNOs. Similarly, the current support for the inception phase of the INFF process including the </w:t>
      </w:r>
      <w:r>
        <w:rPr>
          <w:szCs w:val="20"/>
        </w:rPr>
        <w:t>implementation</w:t>
      </w:r>
      <w:r w:rsidRPr="00CD3D9C">
        <w:rPr>
          <w:szCs w:val="20"/>
        </w:rPr>
        <w:t xml:space="preserve"> of the DFA and </w:t>
      </w:r>
      <w:r>
        <w:rPr>
          <w:szCs w:val="20"/>
        </w:rPr>
        <w:t xml:space="preserve">development of the </w:t>
      </w:r>
      <w:r w:rsidRPr="00CD3D9C">
        <w:rPr>
          <w:szCs w:val="20"/>
        </w:rPr>
        <w:t>INFF roadmap led by UNDP Maldives utilizes technical assistance from UNDP Bangkok Regional Hub and UNDP F</w:t>
      </w:r>
      <w:r w:rsidR="003E125B">
        <w:rPr>
          <w:szCs w:val="20"/>
        </w:rPr>
        <w:t xml:space="preserve">inancial </w:t>
      </w:r>
      <w:r w:rsidRPr="00CD3D9C">
        <w:rPr>
          <w:szCs w:val="20"/>
        </w:rPr>
        <w:t>S</w:t>
      </w:r>
      <w:r w:rsidR="003E125B">
        <w:rPr>
          <w:szCs w:val="20"/>
        </w:rPr>
        <w:t xml:space="preserve">ector </w:t>
      </w:r>
      <w:r w:rsidRPr="00CD3D9C">
        <w:rPr>
          <w:szCs w:val="20"/>
        </w:rPr>
        <w:t>H</w:t>
      </w:r>
      <w:r w:rsidR="003E125B">
        <w:rPr>
          <w:szCs w:val="20"/>
        </w:rPr>
        <w:t>ub</w:t>
      </w:r>
      <w:r w:rsidRPr="00CD3D9C">
        <w:rPr>
          <w:szCs w:val="20"/>
        </w:rPr>
        <w:t xml:space="preserve">. The proposed JP activities will be implemented through this partnership which is </w:t>
      </w:r>
      <w:r w:rsidRPr="00357710">
        <w:rPr>
          <w:szCs w:val="20"/>
        </w:rPr>
        <w:t>more cost effective than private consultancies. Similarly, UNICEF, WHO and UNFPA will maximise their access to expert rosters and tools that have already been tested in other c</w:t>
      </w:r>
      <w:r w:rsidRPr="00CD3D9C">
        <w:rPr>
          <w:szCs w:val="20"/>
        </w:rPr>
        <w:t xml:space="preserve">ountries to implement their respective activities. PUNOs also have the capacity to leverage their own teams to implement the activities instead of hiring new personnel. </w:t>
      </w:r>
    </w:p>
    <w:p w14:paraId="56B01BD7" w14:textId="77777777" w:rsidR="000671F4" w:rsidRPr="00CD3D9C" w:rsidRDefault="000671F4" w:rsidP="000671F4">
      <w:pPr>
        <w:rPr>
          <w:szCs w:val="20"/>
        </w:rPr>
      </w:pPr>
    </w:p>
    <w:p w14:paraId="3D28E8E3" w14:textId="07C33570" w:rsidR="000671F4" w:rsidRPr="00CD3D9C" w:rsidRDefault="000671F4" w:rsidP="000671F4">
      <w:pPr>
        <w:rPr>
          <w:szCs w:val="20"/>
        </w:rPr>
      </w:pPr>
      <w:r w:rsidRPr="00CD3D9C">
        <w:rPr>
          <w:szCs w:val="20"/>
        </w:rPr>
        <w:t xml:space="preserve">Value for money is further achieved through the sustained INFF </w:t>
      </w:r>
      <w:r>
        <w:rPr>
          <w:szCs w:val="20"/>
        </w:rPr>
        <w:t xml:space="preserve">operations </w:t>
      </w:r>
      <w:r w:rsidRPr="00CD3D9C">
        <w:rPr>
          <w:szCs w:val="20"/>
        </w:rPr>
        <w:t xml:space="preserve">in the Maldives (as a result of the </w:t>
      </w:r>
      <w:r>
        <w:rPr>
          <w:szCs w:val="20"/>
        </w:rPr>
        <w:t xml:space="preserve">operationalization of the INFF in the country and implementation of the </w:t>
      </w:r>
      <w:r w:rsidRPr="00CD3D9C">
        <w:rPr>
          <w:szCs w:val="20"/>
        </w:rPr>
        <w:t xml:space="preserve">systemic reforms </w:t>
      </w:r>
      <w:r>
        <w:rPr>
          <w:szCs w:val="20"/>
        </w:rPr>
        <w:t xml:space="preserve">proposed in </w:t>
      </w:r>
      <w:r w:rsidRPr="00CD3D9C">
        <w:rPr>
          <w:szCs w:val="20"/>
        </w:rPr>
        <w:t>the long-term financing strategy) which is likely to have an impact at national level</w:t>
      </w:r>
      <w:r w:rsidR="005A5C2B">
        <w:rPr>
          <w:szCs w:val="20"/>
        </w:rPr>
        <w:t xml:space="preserve"> well</w:t>
      </w:r>
      <w:r w:rsidRPr="00CD3D9C">
        <w:rPr>
          <w:szCs w:val="20"/>
        </w:rPr>
        <w:t xml:space="preserve"> beyond the project period. The JP interventions have been designed in a way that its benefits will be sustained in the long term making its investments cost effective. </w:t>
      </w:r>
    </w:p>
    <w:p w14:paraId="5C5BDE5B" w14:textId="77777777" w:rsidR="009D102C" w:rsidRPr="00CD3D9C" w:rsidRDefault="009D102C" w:rsidP="006B0FA7">
      <w:pPr>
        <w:rPr>
          <w:i/>
          <w:color w:val="C45911" w:themeColor="accent2" w:themeShade="BF"/>
          <w:szCs w:val="20"/>
        </w:rPr>
      </w:pPr>
    </w:p>
    <w:p w14:paraId="57F83634" w14:textId="657434D4" w:rsidR="003A77F2" w:rsidRPr="00CD3D9C" w:rsidRDefault="003A77F2" w:rsidP="006B0FA7">
      <w:pPr>
        <w:rPr>
          <w:szCs w:val="20"/>
        </w:rPr>
      </w:pPr>
      <w:r w:rsidRPr="00CD3D9C">
        <w:rPr>
          <w:szCs w:val="20"/>
        </w:rPr>
        <w:t xml:space="preserve">The activities supported under the JP will have results beyond the programme period. The JP recognizes that the existing </w:t>
      </w:r>
      <w:r w:rsidR="00F94224">
        <w:rPr>
          <w:szCs w:val="20"/>
        </w:rPr>
        <w:t xml:space="preserve">medium-term </w:t>
      </w:r>
      <w:r w:rsidRPr="00CD3D9C">
        <w:rPr>
          <w:szCs w:val="20"/>
        </w:rPr>
        <w:t xml:space="preserve">national development priorities and facilitates the identification of </w:t>
      </w:r>
      <w:r w:rsidR="00F94224">
        <w:rPr>
          <w:szCs w:val="20"/>
        </w:rPr>
        <w:t xml:space="preserve">long-term </w:t>
      </w:r>
      <w:r w:rsidRPr="00CD3D9C">
        <w:rPr>
          <w:szCs w:val="20"/>
        </w:rPr>
        <w:t xml:space="preserve">financing needs and development of </w:t>
      </w:r>
      <w:r w:rsidR="00743F0E" w:rsidRPr="00CD3D9C">
        <w:rPr>
          <w:szCs w:val="20"/>
        </w:rPr>
        <w:t>an</w:t>
      </w:r>
      <w:r w:rsidRPr="00CD3D9C">
        <w:rPr>
          <w:szCs w:val="20"/>
        </w:rPr>
        <w:t xml:space="preserve"> integrated </w:t>
      </w:r>
      <w:r w:rsidR="00F94224">
        <w:rPr>
          <w:szCs w:val="20"/>
        </w:rPr>
        <w:t xml:space="preserve">long-term </w:t>
      </w:r>
      <w:r w:rsidRPr="00CD3D9C">
        <w:rPr>
          <w:szCs w:val="20"/>
        </w:rPr>
        <w:t>financing strategy</w:t>
      </w:r>
      <w:r w:rsidR="00F94224">
        <w:rPr>
          <w:szCs w:val="20"/>
        </w:rPr>
        <w:t>.</w:t>
      </w:r>
      <w:r w:rsidRPr="00CD3D9C">
        <w:rPr>
          <w:szCs w:val="20"/>
        </w:rPr>
        <w:t xml:space="preserve"> </w:t>
      </w:r>
      <w:r w:rsidR="00AB0D69" w:rsidRPr="00CD3D9C">
        <w:rPr>
          <w:szCs w:val="20"/>
        </w:rPr>
        <w:t>T</w:t>
      </w:r>
      <w:r w:rsidRPr="00CD3D9C">
        <w:rPr>
          <w:szCs w:val="20"/>
        </w:rPr>
        <w:t xml:space="preserve">he JP activities support institutional reform to bring in national coordination mechanism on planning and financing through support to the INFF </w:t>
      </w:r>
      <w:r w:rsidR="00215479">
        <w:rPr>
          <w:szCs w:val="20"/>
        </w:rPr>
        <w:t>O</w:t>
      </w:r>
      <w:r w:rsidRPr="00CD3D9C">
        <w:rPr>
          <w:szCs w:val="20"/>
        </w:rPr>
        <w:t xml:space="preserve">versight </w:t>
      </w:r>
      <w:r w:rsidR="00215479">
        <w:rPr>
          <w:szCs w:val="20"/>
        </w:rPr>
        <w:t>C</w:t>
      </w:r>
      <w:r w:rsidRPr="00CD3D9C">
        <w:rPr>
          <w:szCs w:val="20"/>
        </w:rPr>
        <w:t>ommittee. Similarly, capacity building and human resource development is central to all proposed activities keeping in mind their long-term benefits.</w:t>
      </w:r>
      <w:r w:rsidR="00635903" w:rsidRPr="00CD3D9C">
        <w:rPr>
          <w:szCs w:val="20"/>
        </w:rPr>
        <w:t xml:space="preserve"> The overall aim is that the </w:t>
      </w:r>
      <w:r w:rsidR="00BD0F8D" w:rsidRPr="00CD3D9C">
        <w:rPr>
          <w:szCs w:val="20"/>
        </w:rPr>
        <w:lastRenderedPageBreak/>
        <w:t xml:space="preserve">improved financing and coordination at national level will be sustained </w:t>
      </w:r>
      <w:r w:rsidR="008F5D73" w:rsidRPr="00CD3D9C">
        <w:rPr>
          <w:szCs w:val="20"/>
        </w:rPr>
        <w:t xml:space="preserve">beyond the period of the JP </w:t>
      </w:r>
      <w:r w:rsidR="00BD0F8D" w:rsidRPr="00CD3D9C">
        <w:rPr>
          <w:szCs w:val="20"/>
        </w:rPr>
        <w:t>and ultimately contribute towards the successful achievement of the SDGs in the Maldives</w:t>
      </w:r>
      <w:r w:rsidR="000D085E" w:rsidRPr="00CD3D9C">
        <w:rPr>
          <w:szCs w:val="20"/>
        </w:rPr>
        <w:t xml:space="preserve"> </w:t>
      </w:r>
      <w:r w:rsidR="008F5D73" w:rsidRPr="00CD3D9C">
        <w:rPr>
          <w:szCs w:val="20"/>
        </w:rPr>
        <w:t>ensuring that</w:t>
      </w:r>
      <w:r w:rsidR="000D085E" w:rsidRPr="00CD3D9C">
        <w:rPr>
          <w:szCs w:val="20"/>
        </w:rPr>
        <w:t xml:space="preserve"> </w:t>
      </w:r>
      <w:r w:rsidR="00AB0D69" w:rsidRPr="00CD3D9C">
        <w:rPr>
          <w:szCs w:val="20"/>
        </w:rPr>
        <w:t xml:space="preserve">no </w:t>
      </w:r>
      <w:r w:rsidR="000D085E" w:rsidRPr="00CD3D9C">
        <w:rPr>
          <w:szCs w:val="20"/>
        </w:rPr>
        <w:t xml:space="preserve">one is left behind. </w:t>
      </w:r>
    </w:p>
    <w:p w14:paraId="22904380" w14:textId="77777777" w:rsidR="00822C98" w:rsidRPr="00CD3D9C" w:rsidRDefault="00822C98" w:rsidP="006F7E2C">
      <w:pPr>
        <w:rPr>
          <w:i/>
          <w:color w:val="70AD47" w:themeColor="accent6"/>
          <w:szCs w:val="20"/>
        </w:rPr>
      </w:pPr>
    </w:p>
    <w:p w14:paraId="629172E9" w14:textId="44011BC3" w:rsidR="006F7E2C" w:rsidRPr="00CD3D9C" w:rsidRDefault="006B0FA7" w:rsidP="00EC682C">
      <w:pPr>
        <w:rPr>
          <w:szCs w:val="20"/>
        </w:rPr>
      </w:pPr>
      <w:bookmarkStart w:id="31" w:name="_Hlk34900790"/>
      <w:bookmarkStart w:id="32" w:name="_Hlk34157717"/>
      <w:r w:rsidRPr="00CD3D9C">
        <w:rPr>
          <w:szCs w:val="20"/>
        </w:rPr>
        <w:t>The costing of the social sector under Output 1.2 will include costing of the resources needed to implement the</w:t>
      </w:r>
      <w:r w:rsidR="00215479">
        <w:rPr>
          <w:szCs w:val="20"/>
        </w:rPr>
        <w:t xml:space="preserve"> gender subsector matrix in the SAP, the various policies and plans linked to the implementation of the</w:t>
      </w:r>
      <w:r w:rsidRPr="00CD3D9C">
        <w:rPr>
          <w:szCs w:val="20"/>
        </w:rPr>
        <w:t xml:space="preserve"> Gender Equality Law, the Domestic Violence Act and investments needed for collecting </w:t>
      </w:r>
      <w:r w:rsidR="00DB48D6">
        <w:rPr>
          <w:szCs w:val="20"/>
        </w:rPr>
        <w:t>sex disaggregated</w:t>
      </w:r>
      <w:r w:rsidRPr="00CD3D9C">
        <w:rPr>
          <w:szCs w:val="20"/>
        </w:rPr>
        <w:t xml:space="preserve"> statistics.</w:t>
      </w:r>
      <w:r w:rsidR="00A75A6D">
        <w:rPr>
          <w:szCs w:val="20"/>
        </w:rPr>
        <w:t xml:space="preserve"> All costing exercises will apply a gender responsive methodology.</w:t>
      </w:r>
      <w:r w:rsidRPr="00CD3D9C">
        <w:rPr>
          <w:szCs w:val="20"/>
        </w:rPr>
        <w:t xml:space="preserve"> The social sector costing exercise will integrate an investment plan for human resource development in social service delivery with the aim of re</w:t>
      </w:r>
      <w:r w:rsidR="00A302D6">
        <w:rPr>
          <w:szCs w:val="20"/>
        </w:rPr>
        <w:t>ducing reliance on</w:t>
      </w:r>
      <w:r w:rsidRPr="00CD3D9C">
        <w:rPr>
          <w:szCs w:val="20"/>
        </w:rPr>
        <w:t xml:space="preserve"> foreign labour with a trained Maldivian workforce that increases the </w:t>
      </w:r>
      <w:r w:rsidR="00FE139E">
        <w:rPr>
          <w:szCs w:val="20"/>
        </w:rPr>
        <w:t xml:space="preserve">participation </w:t>
      </w:r>
      <w:r w:rsidRPr="00CD3D9C">
        <w:rPr>
          <w:szCs w:val="20"/>
        </w:rPr>
        <w:t xml:space="preserve">of Maldivian women, young men and young women in social sector service delivery. Under Outcome 2, the National Integrated Financing Strategy will cover financing solutions and approaches to meet the </w:t>
      </w:r>
      <w:r w:rsidR="00745D57">
        <w:rPr>
          <w:szCs w:val="20"/>
        </w:rPr>
        <w:t>SDGs including targets under Goal 5. Outcome 2 also supports</w:t>
      </w:r>
      <w:r w:rsidRPr="00CD3D9C">
        <w:rPr>
          <w:szCs w:val="20"/>
        </w:rPr>
        <w:t xml:space="preserve"> building capacity of line ministries to </w:t>
      </w:r>
      <w:r w:rsidR="00FE139E">
        <w:rPr>
          <w:szCs w:val="20"/>
        </w:rPr>
        <w:t>conduct</w:t>
      </w:r>
      <w:r w:rsidRPr="00CD3D9C">
        <w:rPr>
          <w:szCs w:val="20"/>
        </w:rPr>
        <w:t xml:space="preserve"> gender audits. </w:t>
      </w:r>
      <w:r w:rsidR="00FE139E">
        <w:rPr>
          <w:szCs w:val="20"/>
        </w:rPr>
        <w:t>I</w:t>
      </w:r>
      <w:r w:rsidR="00FE139E" w:rsidRPr="00CD3D9C">
        <w:rPr>
          <w:szCs w:val="20"/>
        </w:rPr>
        <w:t xml:space="preserve">nstitutional </w:t>
      </w:r>
      <w:r w:rsidRPr="00CD3D9C">
        <w:rPr>
          <w:szCs w:val="20"/>
        </w:rPr>
        <w:t>support to the INFF Oversight Committee under Outcome 3 would involve</w:t>
      </w:r>
      <w:r w:rsidR="00A75A6D">
        <w:rPr>
          <w:szCs w:val="20"/>
        </w:rPr>
        <w:t xml:space="preserve"> putting in place a gender balanced, full-fledged INFF Oversight Committee and</w:t>
      </w:r>
      <w:r w:rsidRPr="00CD3D9C">
        <w:rPr>
          <w:szCs w:val="20"/>
        </w:rPr>
        <w:t xml:space="preserve"> equipping the members with the capacity to identify differential impacts of financing decisions and financing policies on women and men</w:t>
      </w:r>
      <w:bookmarkEnd w:id="31"/>
      <w:r w:rsidRPr="00CD3D9C">
        <w:rPr>
          <w:szCs w:val="20"/>
        </w:rPr>
        <w:t xml:space="preserve">. </w:t>
      </w:r>
    </w:p>
    <w:p w14:paraId="4621CE1F" w14:textId="77777777" w:rsidR="009D102C" w:rsidRPr="00CD3D9C" w:rsidRDefault="009D102C" w:rsidP="00827A23">
      <w:pPr>
        <w:rPr>
          <w:b/>
          <w:color w:val="2F5496" w:themeColor="accent1" w:themeShade="BF"/>
          <w:szCs w:val="20"/>
        </w:rPr>
      </w:pPr>
    </w:p>
    <w:p w14:paraId="6DABD517" w14:textId="4A694861" w:rsidR="00093932" w:rsidRPr="00CD3D9C" w:rsidRDefault="00093932" w:rsidP="00093932">
      <w:pPr>
        <w:rPr>
          <w:szCs w:val="20"/>
        </w:rPr>
      </w:pPr>
      <w:r w:rsidRPr="00CD3D9C">
        <w:rPr>
          <w:szCs w:val="20"/>
        </w:rPr>
        <w:t>The JP is positioned within the implementation of several ongoing programmes of the Government</w:t>
      </w:r>
      <w:r w:rsidR="00AB0D69" w:rsidRPr="00CD3D9C">
        <w:rPr>
          <w:szCs w:val="20"/>
        </w:rPr>
        <w:t>, UN agencies</w:t>
      </w:r>
      <w:r w:rsidRPr="00CD3D9C">
        <w:rPr>
          <w:szCs w:val="20"/>
        </w:rPr>
        <w:t xml:space="preserve"> and </w:t>
      </w:r>
      <w:r w:rsidR="00AB0D69" w:rsidRPr="00CD3D9C">
        <w:rPr>
          <w:szCs w:val="20"/>
        </w:rPr>
        <w:t xml:space="preserve">other </w:t>
      </w:r>
      <w:r w:rsidRPr="00CD3D9C">
        <w:rPr>
          <w:szCs w:val="20"/>
        </w:rPr>
        <w:t xml:space="preserve">development partners. </w:t>
      </w:r>
      <w:r w:rsidR="00FE139E">
        <w:rPr>
          <w:szCs w:val="20"/>
        </w:rPr>
        <w:t>These</w:t>
      </w:r>
      <w:r w:rsidRPr="00CD3D9C">
        <w:rPr>
          <w:szCs w:val="20"/>
        </w:rPr>
        <w:t xml:space="preserve"> include:</w:t>
      </w:r>
    </w:p>
    <w:p w14:paraId="20A4B882" w14:textId="28C8973D" w:rsidR="00093932" w:rsidRPr="003D6C1C" w:rsidRDefault="00093932" w:rsidP="003D6C1C">
      <w:pPr>
        <w:pStyle w:val="ListParagraph"/>
        <w:numPr>
          <w:ilvl w:val="0"/>
          <w:numId w:val="43"/>
        </w:numPr>
        <w:rPr>
          <w:color w:val="FF0000"/>
          <w:szCs w:val="20"/>
        </w:rPr>
      </w:pPr>
      <w:r w:rsidRPr="00CD3D9C">
        <w:rPr>
          <w:szCs w:val="20"/>
        </w:rPr>
        <w:t>UNDP: ongoing support to the preparation of the DFA and the INFF roadmap and ongoing exercise to map the level of alignment of the SDGs with the medium term development framework of the Government of Maldives, the SAP</w:t>
      </w:r>
      <w:r w:rsidR="00DE340A">
        <w:rPr>
          <w:szCs w:val="20"/>
        </w:rPr>
        <w:t>,</w:t>
      </w:r>
      <w:r w:rsidRPr="00CD3D9C">
        <w:rPr>
          <w:szCs w:val="20"/>
        </w:rPr>
        <w:t xml:space="preserve"> the ongoing UNDP climate promise initiative</w:t>
      </w:r>
      <w:r w:rsidR="00DE340A">
        <w:rPr>
          <w:szCs w:val="20"/>
        </w:rPr>
        <w:t xml:space="preserve"> and the recently launched rapid livelihoods assessment to respond to Covid-19 crisis</w:t>
      </w:r>
      <w:r w:rsidR="003D6C1C">
        <w:rPr>
          <w:szCs w:val="20"/>
        </w:rPr>
        <w:t xml:space="preserve"> </w:t>
      </w:r>
      <w:r w:rsidR="003D6C1C" w:rsidRPr="005E36D2">
        <w:rPr>
          <w:szCs w:val="20"/>
        </w:rPr>
        <w:t>and the UN framework for the immediate socio-economic response to COVID-19.</w:t>
      </w:r>
    </w:p>
    <w:p w14:paraId="727D10E1" w14:textId="050E910C" w:rsidR="00093932" w:rsidRPr="00CD3D9C" w:rsidRDefault="00093932" w:rsidP="00093932">
      <w:pPr>
        <w:pStyle w:val="ListParagraph"/>
        <w:numPr>
          <w:ilvl w:val="0"/>
          <w:numId w:val="43"/>
        </w:numPr>
        <w:rPr>
          <w:szCs w:val="20"/>
        </w:rPr>
      </w:pPr>
      <w:r w:rsidRPr="00CD3D9C">
        <w:rPr>
          <w:szCs w:val="20"/>
        </w:rPr>
        <w:t>WHO: ongoing support to manage and update the National Health Accounts (NHA)</w:t>
      </w:r>
      <w:r w:rsidR="00DE340A">
        <w:rPr>
          <w:szCs w:val="20"/>
        </w:rPr>
        <w:t xml:space="preserve"> and the ongoing support to the national Covid-19 response. </w:t>
      </w:r>
    </w:p>
    <w:p w14:paraId="2FC6A2E1" w14:textId="1A457CD0" w:rsidR="00093932" w:rsidRPr="00CD3D9C" w:rsidRDefault="00093932" w:rsidP="00093932">
      <w:pPr>
        <w:pStyle w:val="ListParagraph"/>
        <w:numPr>
          <w:ilvl w:val="0"/>
          <w:numId w:val="43"/>
        </w:numPr>
        <w:rPr>
          <w:szCs w:val="20"/>
        </w:rPr>
      </w:pPr>
      <w:r w:rsidRPr="00CD3D9C">
        <w:rPr>
          <w:szCs w:val="20"/>
        </w:rPr>
        <w:t>UNICEF: ongoing support to the estimation of MPI in the Maldives</w:t>
      </w:r>
      <w:r w:rsidR="00FE139E">
        <w:rPr>
          <w:szCs w:val="20"/>
        </w:rPr>
        <w:t>;</w:t>
      </w:r>
      <w:r w:rsidR="00FE139E" w:rsidRPr="00CD3D9C">
        <w:rPr>
          <w:szCs w:val="20"/>
        </w:rPr>
        <w:t xml:space="preserve"> </w:t>
      </w:r>
      <w:r w:rsidRPr="00CD3D9C">
        <w:rPr>
          <w:szCs w:val="20"/>
        </w:rPr>
        <w:t>training of budget officials and the members of Parliament on budget scrutiny and planned support to develop child centered</w:t>
      </w:r>
      <w:r w:rsidR="00FE139E">
        <w:rPr>
          <w:szCs w:val="20"/>
        </w:rPr>
        <w:t>,</w:t>
      </w:r>
      <w:r w:rsidRPr="00CD3D9C">
        <w:rPr>
          <w:szCs w:val="20"/>
        </w:rPr>
        <w:t xml:space="preserve"> social sector relevant SDG priority areas for the Maldives</w:t>
      </w:r>
      <w:r w:rsidR="00FE139E">
        <w:rPr>
          <w:szCs w:val="20"/>
        </w:rPr>
        <w:t>,</w:t>
      </w:r>
      <w:r w:rsidRPr="00CD3D9C">
        <w:rPr>
          <w:szCs w:val="20"/>
        </w:rPr>
        <w:t xml:space="preserve"> in collaboration with the SDG Coordination Unit of the Ministry of National Planning and Infrastructure</w:t>
      </w:r>
      <w:r w:rsidR="00DE340A">
        <w:rPr>
          <w:szCs w:val="20"/>
        </w:rPr>
        <w:t xml:space="preserve"> and the ongoing support to the national Covid-19 response.</w:t>
      </w:r>
    </w:p>
    <w:p w14:paraId="3BFD2CD7" w14:textId="66634EF5" w:rsidR="004D3FB2" w:rsidRPr="00CD3D9C" w:rsidRDefault="004D3FB2" w:rsidP="00093932">
      <w:pPr>
        <w:pStyle w:val="ListParagraph"/>
        <w:numPr>
          <w:ilvl w:val="0"/>
          <w:numId w:val="43"/>
        </w:numPr>
        <w:rPr>
          <w:szCs w:val="20"/>
        </w:rPr>
      </w:pPr>
      <w:r>
        <w:rPr>
          <w:szCs w:val="20"/>
        </w:rPr>
        <w:t xml:space="preserve">UNFPA: supporting the </w:t>
      </w:r>
      <w:r w:rsidR="00FE139E">
        <w:rPr>
          <w:szCs w:val="20"/>
        </w:rPr>
        <w:t xml:space="preserve">Government </w:t>
      </w:r>
      <w:r>
        <w:rPr>
          <w:szCs w:val="20"/>
        </w:rPr>
        <w:t>of Maldives to formulate the Reproductive, Maternal, New born, Child and Adolescent Health (RMNCAH) Strategy (in partnership with UNICEF and WHO). The first National Transfer Account undertaken in partnership with National Bureau of Statistics</w:t>
      </w:r>
      <w:r w:rsidR="00FE139E">
        <w:rPr>
          <w:szCs w:val="20"/>
        </w:rPr>
        <w:t>.</w:t>
      </w:r>
      <w:r>
        <w:rPr>
          <w:szCs w:val="20"/>
        </w:rPr>
        <w:t xml:space="preserve"> </w:t>
      </w:r>
    </w:p>
    <w:p w14:paraId="5E5FEA39" w14:textId="0951B360" w:rsidR="00093932" w:rsidRPr="00DE340A" w:rsidRDefault="00093932" w:rsidP="00DE340A">
      <w:pPr>
        <w:pStyle w:val="ListParagraph"/>
        <w:numPr>
          <w:ilvl w:val="0"/>
          <w:numId w:val="43"/>
        </w:numPr>
        <w:rPr>
          <w:szCs w:val="20"/>
        </w:rPr>
      </w:pPr>
      <w:r w:rsidRPr="00CD3D9C">
        <w:rPr>
          <w:szCs w:val="20"/>
        </w:rPr>
        <w:t xml:space="preserve">Government of Maldives: On-going PFM reforms including transitioning to programme based budgeting, debt and cash management strategy, the medium-term fiscal framework, public expenditure reviews and climate finance tracking initiative, the recently launched Maldives climate financing framework and the operationalising of the Maldives Green Fund. </w:t>
      </w:r>
      <w:r w:rsidR="00DE340A">
        <w:rPr>
          <w:szCs w:val="20"/>
        </w:rPr>
        <w:t xml:space="preserve">This also includes and the ongoing national response to Covid-19 the various financing arrangements that have been put in place including external and internal resource mobilization. </w:t>
      </w:r>
      <w:r w:rsidRPr="00DE340A">
        <w:rPr>
          <w:szCs w:val="20"/>
        </w:rPr>
        <w:t>The Ministry of Finance is jointly working with the World Bank on a PER to assess efficiency gains in the social service sector spending, UNICEF will provide technical advice to this exercise.</w:t>
      </w:r>
    </w:p>
    <w:p w14:paraId="77F30888" w14:textId="7F6293D8" w:rsidR="00E7751D" w:rsidRPr="00DE340A" w:rsidRDefault="00093932" w:rsidP="00DE340A">
      <w:pPr>
        <w:pStyle w:val="ListParagraph"/>
        <w:numPr>
          <w:ilvl w:val="0"/>
          <w:numId w:val="43"/>
        </w:numPr>
        <w:rPr>
          <w:szCs w:val="20"/>
        </w:rPr>
      </w:pPr>
      <w:r w:rsidRPr="00CD3D9C">
        <w:rPr>
          <w:szCs w:val="20"/>
        </w:rPr>
        <w:t xml:space="preserve">Private sector initiatives including corporate social responsibility (CSR) of existing business actors, philanthropy and investment frameworks relevant to SDGs. </w:t>
      </w:r>
    </w:p>
    <w:p w14:paraId="36995937" w14:textId="77777777" w:rsidR="002C2DDE" w:rsidRPr="00CD3D9C" w:rsidRDefault="002C2DDE" w:rsidP="001134F6">
      <w:pPr>
        <w:rPr>
          <w:i/>
          <w:color w:val="C45911" w:themeColor="accent2" w:themeShade="BF"/>
          <w:szCs w:val="20"/>
        </w:rPr>
      </w:pPr>
    </w:p>
    <w:p w14:paraId="493F85D0" w14:textId="4D5D8D79" w:rsidR="006B0FA7" w:rsidRPr="00CD3D9C" w:rsidRDefault="00A81385" w:rsidP="006B0FA7">
      <w:pPr>
        <w:rPr>
          <w:b/>
          <w:bCs/>
          <w:color w:val="000000" w:themeColor="text1"/>
          <w:szCs w:val="20"/>
        </w:rPr>
      </w:pPr>
      <w:r w:rsidRPr="00CD3D9C">
        <w:rPr>
          <w:b/>
          <w:bCs/>
          <w:color w:val="000000" w:themeColor="text1"/>
          <w:szCs w:val="20"/>
        </w:rPr>
        <w:t>2</w:t>
      </w:r>
      <w:r w:rsidR="0057528B" w:rsidRPr="00CD3D9C">
        <w:rPr>
          <w:b/>
          <w:bCs/>
          <w:color w:val="000000" w:themeColor="text1"/>
          <w:szCs w:val="20"/>
        </w:rPr>
        <w:t>.</w:t>
      </w:r>
      <w:r w:rsidR="00C54169" w:rsidRPr="00CD3D9C">
        <w:rPr>
          <w:b/>
          <w:bCs/>
          <w:color w:val="000000" w:themeColor="text1"/>
          <w:szCs w:val="20"/>
        </w:rPr>
        <w:t>5</w:t>
      </w:r>
      <w:r w:rsidR="0057528B" w:rsidRPr="00CD3D9C">
        <w:rPr>
          <w:b/>
          <w:bCs/>
          <w:color w:val="000000" w:themeColor="text1"/>
          <w:szCs w:val="20"/>
        </w:rPr>
        <w:t xml:space="preserve"> Partnership</w:t>
      </w:r>
      <w:r w:rsidR="00E37CB4" w:rsidRPr="00CD3D9C">
        <w:rPr>
          <w:b/>
          <w:bCs/>
          <w:color w:val="000000" w:themeColor="text1"/>
          <w:szCs w:val="20"/>
        </w:rPr>
        <w:t>s</w:t>
      </w:r>
      <w:r w:rsidR="00943BBD" w:rsidRPr="00CD3D9C">
        <w:rPr>
          <w:b/>
          <w:bCs/>
          <w:color w:val="000000" w:themeColor="text1"/>
          <w:szCs w:val="20"/>
        </w:rPr>
        <w:t xml:space="preserve"> and </w:t>
      </w:r>
      <w:r w:rsidR="00EF1874" w:rsidRPr="00CD3D9C">
        <w:rPr>
          <w:b/>
          <w:bCs/>
          <w:color w:val="000000" w:themeColor="text1"/>
          <w:szCs w:val="20"/>
        </w:rPr>
        <w:t>stakeholder engagement</w:t>
      </w:r>
      <w:r w:rsidR="0093195D" w:rsidRPr="00CD3D9C">
        <w:rPr>
          <w:b/>
          <w:bCs/>
          <w:color w:val="000000" w:themeColor="text1"/>
          <w:szCs w:val="20"/>
        </w:rPr>
        <w:t xml:space="preserve"> </w:t>
      </w:r>
    </w:p>
    <w:p w14:paraId="3E544F54" w14:textId="707E5FF6" w:rsidR="00EC44A9" w:rsidRDefault="00697D38" w:rsidP="000671F4">
      <w:pPr>
        <w:rPr>
          <w:szCs w:val="20"/>
        </w:rPr>
      </w:pPr>
      <w:r w:rsidRPr="00CD3D9C">
        <w:rPr>
          <w:szCs w:val="20"/>
        </w:rPr>
        <w:lastRenderedPageBreak/>
        <w:t xml:space="preserve">The JP implementation will be led by the INFF </w:t>
      </w:r>
      <w:r w:rsidR="00024A89" w:rsidRPr="00CD3D9C">
        <w:rPr>
          <w:szCs w:val="20"/>
        </w:rPr>
        <w:t>O</w:t>
      </w:r>
      <w:r w:rsidRPr="00CD3D9C">
        <w:rPr>
          <w:szCs w:val="20"/>
        </w:rPr>
        <w:t xml:space="preserve">versight </w:t>
      </w:r>
      <w:r w:rsidR="00024A89" w:rsidRPr="00CD3D9C">
        <w:rPr>
          <w:szCs w:val="20"/>
        </w:rPr>
        <w:t>C</w:t>
      </w:r>
      <w:r w:rsidRPr="00CD3D9C">
        <w:rPr>
          <w:szCs w:val="20"/>
        </w:rPr>
        <w:t xml:space="preserve">ommittee under the leadership of the Ministry of Finance and the Ministry of Planning and National Infrastructure. The </w:t>
      </w:r>
      <w:r w:rsidR="00024A89" w:rsidRPr="00CD3D9C">
        <w:rPr>
          <w:szCs w:val="20"/>
        </w:rPr>
        <w:t xml:space="preserve">expected </w:t>
      </w:r>
      <w:r w:rsidRPr="00CD3D9C">
        <w:rPr>
          <w:szCs w:val="20"/>
        </w:rPr>
        <w:t xml:space="preserve">roles of the INFF committee with respect to the </w:t>
      </w:r>
      <w:r w:rsidR="00024A89" w:rsidRPr="00CD3D9C">
        <w:rPr>
          <w:szCs w:val="20"/>
        </w:rPr>
        <w:t>implement</w:t>
      </w:r>
      <w:r w:rsidR="00933BF0">
        <w:rPr>
          <w:szCs w:val="20"/>
        </w:rPr>
        <w:t>ation</w:t>
      </w:r>
      <w:r w:rsidR="00024A89" w:rsidRPr="00CD3D9C">
        <w:rPr>
          <w:szCs w:val="20"/>
        </w:rPr>
        <w:t xml:space="preserve"> </w:t>
      </w:r>
      <w:r w:rsidR="00933BF0">
        <w:rPr>
          <w:szCs w:val="20"/>
        </w:rPr>
        <w:t xml:space="preserve">of </w:t>
      </w:r>
      <w:r w:rsidR="00024A89" w:rsidRPr="00CD3D9C">
        <w:rPr>
          <w:szCs w:val="20"/>
        </w:rPr>
        <w:t xml:space="preserve">the </w:t>
      </w:r>
      <w:r w:rsidRPr="00CD3D9C">
        <w:rPr>
          <w:szCs w:val="20"/>
        </w:rPr>
        <w:t>JP are detailed in section 3.1 below.</w:t>
      </w:r>
      <w:r w:rsidR="00024A89" w:rsidRPr="00CD3D9C">
        <w:rPr>
          <w:szCs w:val="20"/>
        </w:rPr>
        <w:t xml:space="preserve"> The broader roles</w:t>
      </w:r>
      <w:r w:rsidR="000671F4">
        <w:rPr>
          <w:szCs w:val="20"/>
        </w:rPr>
        <w:t>, functions</w:t>
      </w:r>
      <w:r w:rsidR="00024A89" w:rsidRPr="00CD3D9C">
        <w:rPr>
          <w:szCs w:val="20"/>
        </w:rPr>
        <w:t xml:space="preserve"> and institutional set up of the INFF Oversight Committee will be defined through the JP support under Output 3.1.</w:t>
      </w:r>
      <w:r w:rsidRPr="00CD3D9C">
        <w:rPr>
          <w:szCs w:val="20"/>
        </w:rPr>
        <w:t xml:space="preserve"> The </w:t>
      </w:r>
      <w:r w:rsidR="00024A89" w:rsidRPr="00CD3D9C">
        <w:rPr>
          <w:szCs w:val="20"/>
        </w:rPr>
        <w:t>INFF/</w:t>
      </w:r>
      <w:r w:rsidRPr="00CD3D9C">
        <w:rPr>
          <w:szCs w:val="20"/>
        </w:rPr>
        <w:t xml:space="preserve">DFA inception phase activities which </w:t>
      </w:r>
      <w:r w:rsidR="00933BF0">
        <w:rPr>
          <w:szCs w:val="20"/>
        </w:rPr>
        <w:t xml:space="preserve">were </w:t>
      </w:r>
      <w:r w:rsidRPr="00CD3D9C">
        <w:rPr>
          <w:szCs w:val="20"/>
        </w:rPr>
        <w:t xml:space="preserve">initiated in November 2019 included initial stakeholder consultations, the development of the initial composition of the </w:t>
      </w:r>
      <w:r w:rsidR="00024A89" w:rsidRPr="00CD3D9C">
        <w:rPr>
          <w:szCs w:val="20"/>
        </w:rPr>
        <w:t>DFA/</w:t>
      </w:r>
      <w:r w:rsidRPr="00CD3D9C">
        <w:rPr>
          <w:szCs w:val="20"/>
        </w:rPr>
        <w:t xml:space="preserve">INFF oversight </w:t>
      </w:r>
      <w:r w:rsidR="00024A89" w:rsidRPr="00CD3D9C">
        <w:rPr>
          <w:szCs w:val="20"/>
        </w:rPr>
        <w:t xml:space="preserve">team </w:t>
      </w:r>
      <w:r w:rsidRPr="00CD3D9C">
        <w:rPr>
          <w:szCs w:val="20"/>
        </w:rPr>
        <w:t>and the DFA inception workshop which was held in early February 2020. The workshop had 45 participants from both public and private sector. The</w:t>
      </w:r>
      <w:r w:rsidR="00024A89" w:rsidRPr="00CD3D9C">
        <w:rPr>
          <w:szCs w:val="20"/>
        </w:rPr>
        <w:t xml:space="preserve"> INFF</w:t>
      </w:r>
      <w:r w:rsidRPr="00CD3D9C">
        <w:rPr>
          <w:szCs w:val="20"/>
        </w:rPr>
        <w:t xml:space="preserve"> inception phase activities have contributed to building the awareness on the INFF process amongst the wider stakeholders and stronger recognition of the importance of the INFF process by the government stakeholders, particularly those at the policy level. </w:t>
      </w:r>
      <w:r w:rsidR="000671F4" w:rsidRPr="00CD3D9C">
        <w:rPr>
          <w:szCs w:val="20"/>
        </w:rPr>
        <w:t xml:space="preserve">The strong buy-in and participation of the Ministry of Finance and the Ministry of Planning and National Infrastructure in the development of this JP is a testament to the </w:t>
      </w:r>
      <w:r w:rsidR="000671F4">
        <w:rPr>
          <w:szCs w:val="20"/>
        </w:rPr>
        <w:t xml:space="preserve">high </w:t>
      </w:r>
      <w:r w:rsidR="000671F4" w:rsidRPr="00CD3D9C">
        <w:rPr>
          <w:szCs w:val="20"/>
        </w:rPr>
        <w:t xml:space="preserve">level of engagement and partnership that the DFA/INFF inception phase has established </w:t>
      </w:r>
      <w:r w:rsidR="000671F4">
        <w:rPr>
          <w:szCs w:val="20"/>
        </w:rPr>
        <w:t xml:space="preserve">for </w:t>
      </w:r>
      <w:r w:rsidR="000671F4" w:rsidRPr="00CD3D9C">
        <w:rPr>
          <w:szCs w:val="20"/>
        </w:rPr>
        <w:t xml:space="preserve">the </w:t>
      </w:r>
      <w:r w:rsidR="000671F4">
        <w:rPr>
          <w:szCs w:val="20"/>
        </w:rPr>
        <w:t xml:space="preserve">set-up and operationalization of the INFF </w:t>
      </w:r>
      <w:r w:rsidR="000671F4" w:rsidRPr="00CD3D9C">
        <w:rPr>
          <w:szCs w:val="20"/>
        </w:rPr>
        <w:t>in the Maldives.</w:t>
      </w:r>
    </w:p>
    <w:p w14:paraId="4B80B82C" w14:textId="77777777" w:rsidR="000671F4" w:rsidRPr="00CD3D9C" w:rsidRDefault="000671F4" w:rsidP="000671F4">
      <w:pPr>
        <w:rPr>
          <w:b/>
          <w:i/>
          <w:color w:val="2F5496" w:themeColor="accent1" w:themeShade="BF"/>
          <w:szCs w:val="20"/>
        </w:rPr>
      </w:pPr>
    </w:p>
    <w:p w14:paraId="656B6150" w14:textId="32560170" w:rsidR="00697D38" w:rsidRPr="00CD3D9C" w:rsidRDefault="00697D38" w:rsidP="00697D38">
      <w:pPr>
        <w:pStyle w:val="NoSpacing"/>
        <w:rPr>
          <w:szCs w:val="20"/>
        </w:rPr>
      </w:pPr>
      <w:r w:rsidRPr="00CD3D9C">
        <w:rPr>
          <w:szCs w:val="20"/>
        </w:rPr>
        <w:t xml:space="preserve">The PUNOs have ongoing working relationships established with </w:t>
      </w:r>
      <w:r w:rsidR="00C5150D" w:rsidRPr="00CD3D9C">
        <w:rPr>
          <w:szCs w:val="20"/>
        </w:rPr>
        <w:t>all</w:t>
      </w:r>
      <w:r w:rsidRPr="00CD3D9C">
        <w:rPr>
          <w:szCs w:val="20"/>
        </w:rPr>
        <w:t xml:space="preserve"> of the key stakeholders that will be involved in implementing the JP activities. UNDP </w:t>
      </w:r>
      <w:r w:rsidR="00C5150D" w:rsidRPr="00CD3D9C">
        <w:rPr>
          <w:szCs w:val="20"/>
        </w:rPr>
        <w:t xml:space="preserve">will build on the existing partnership to provide the technical engagement </w:t>
      </w:r>
      <w:r w:rsidR="001F18D4" w:rsidRPr="00CD3D9C">
        <w:rPr>
          <w:szCs w:val="20"/>
        </w:rPr>
        <w:t xml:space="preserve">and support to </w:t>
      </w:r>
      <w:r w:rsidR="00C5150D" w:rsidRPr="00CD3D9C">
        <w:rPr>
          <w:szCs w:val="20"/>
        </w:rPr>
        <w:t xml:space="preserve">the INFF </w:t>
      </w:r>
      <w:r w:rsidR="001F18D4" w:rsidRPr="00CD3D9C">
        <w:rPr>
          <w:szCs w:val="20"/>
        </w:rPr>
        <w:t>O</w:t>
      </w:r>
      <w:r w:rsidR="00C5150D" w:rsidRPr="00CD3D9C">
        <w:rPr>
          <w:szCs w:val="20"/>
        </w:rPr>
        <w:t xml:space="preserve">versight </w:t>
      </w:r>
      <w:r w:rsidR="001F18D4" w:rsidRPr="00CD3D9C">
        <w:rPr>
          <w:szCs w:val="20"/>
        </w:rPr>
        <w:t>C</w:t>
      </w:r>
      <w:r w:rsidR="00C5150D" w:rsidRPr="00CD3D9C">
        <w:rPr>
          <w:szCs w:val="20"/>
        </w:rPr>
        <w:t>ommittee members on the roll</w:t>
      </w:r>
      <w:r w:rsidR="00933BF0">
        <w:rPr>
          <w:szCs w:val="20"/>
        </w:rPr>
        <w:t>-</w:t>
      </w:r>
      <w:r w:rsidR="00C5150D" w:rsidRPr="00CD3D9C">
        <w:rPr>
          <w:szCs w:val="20"/>
        </w:rPr>
        <w:t>out of the INFF</w:t>
      </w:r>
      <w:r w:rsidR="001F18D4" w:rsidRPr="00CD3D9C">
        <w:rPr>
          <w:szCs w:val="20"/>
        </w:rPr>
        <w:t xml:space="preserve"> roadmap</w:t>
      </w:r>
      <w:r w:rsidR="00C5150D" w:rsidRPr="00CD3D9C">
        <w:rPr>
          <w:szCs w:val="20"/>
        </w:rPr>
        <w:t xml:space="preserve"> in the Maldives. UNDP is working closely with the Ministry of Environment on a range of climate finance support areas</w:t>
      </w:r>
      <w:r w:rsidR="00933BF0">
        <w:rPr>
          <w:szCs w:val="20"/>
        </w:rPr>
        <w:t>,</w:t>
      </w:r>
      <w:r w:rsidR="00C5150D" w:rsidRPr="00CD3D9C">
        <w:rPr>
          <w:szCs w:val="20"/>
        </w:rPr>
        <w:t xml:space="preserve"> and the Ministry has requested </w:t>
      </w:r>
      <w:r w:rsidR="00933BF0">
        <w:rPr>
          <w:szCs w:val="20"/>
        </w:rPr>
        <w:t xml:space="preserve">assistance </w:t>
      </w:r>
      <w:r w:rsidR="00C5150D" w:rsidRPr="00CD3D9C">
        <w:rPr>
          <w:szCs w:val="20"/>
        </w:rPr>
        <w:t>for costing and investment need identification as a priority for several environmental service delivery areas</w:t>
      </w:r>
      <w:r w:rsidR="00933BF0">
        <w:rPr>
          <w:szCs w:val="20"/>
        </w:rPr>
        <w:t>,</w:t>
      </w:r>
      <w:r w:rsidR="00C5150D" w:rsidRPr="00CD3D9C">
        <w:rPr>
          <w:szCs w:val="20"/>
        </w:rPr>
        <w:t xml:space="preserve"> including energy, water, waste management. As for other PUNOs, WHO has a strong partnership with the Ministry of Health to support the health financing areas, UNFPA and UNICEF has close working relationships with the social sector stakeholders including the Ministry of Gender, Family and Social Protection Services, the Ministry of Education,</w:t>
      </w:r>
      <w:r w:rsidR="00933BF0">
        <w:rPr>
          <w:szCs w:val="20"/>
        </w:rPr>
        <w:t xml:space="preserve"> and</w:t>
      </w:r>
      <w:r w:rsidR="00C5150D" w:rsidRPr="00CD3D9C">
        <w:rPr>
          <w:szCs w:val="20"/>
        </w:rPr>
        <w:t xml:space="preserve"> the Ministry of Health. </w:t>
      </w:r>
    </w:p>
    <w:p w14:paraId="7E948A5B" w14:textId="238CB082" w:rsidR="00C5150D" w:rsidRPr="00CD3D9C" w:rsidRDefault="00C5150D" w:rsidP="00697D38">
      <w:pPr>
        <w:pStyle w:val="NoSpacing"/>
        <w:rPr>
          <w:szCs w:val="20"/>
        </w:rPr>
      </w:pPr>
    </w:p>
    <w:p w14:paraId="675C30FC" w14:textId="28820273" w:rsidR="00C5150D" w:rsidRPr="00CD3D9C" w:rsidRDefault="00C5150D" w:rsidP="00697D38">
      <w:pPr>
        <w:pStyle w:val="NoSpacing"/>
        <w:rPr>
          <w:szCs w:val="20"/>
        </w:rPr>
      </w:pPr>
      <w:r w:rsidRPr="00CD3D9C">
        <w:rPr>
          <w:szCs w:val="20"/>
        </w:rPr>
        <w:t xml:space="preserve">UNDP has initiated consultations and engagement with a range of private sector stakeholders as part of the DFA </w:t>
      </w:r>
      <w:r w:rsidR="001F18D4" w:rsidRPr="00CD3D9C">
        <w:rPr>
          <w:szCs w:val="20"/>
        </w:rPr>
        <w:t>exercise</w:t>
      </w:r>
      <w:r w:rsidRPr="00CD3D9C">
        <w:rPr>
          <w:szCs w:val="20"/>
        </w:rPr>
        <w:t>. This includes private sector entities that have investment initiatives such as the Morteza Capital (private investment fund), the state owned enterprise</w:t>
      </w:r>
      <w:r w:rsidR="00933BF0">
        <w:rPr>
          <w:szCs w:val="20"/>
        </w:rPr>
        <w:t>s:</w:t>
      </w:r>
      <w:r w:rsidRPr="00CD3D9C">
        <w:rPr>
          <w:szCs w:val="20"/>
        </w:rPr>
        <w:t xml:space="preserve"> Maldives Fund Management Corporation (MFMC), Maldives Pension Administration Office (MPAO), Maldives Capital Market Development Authority and other business associations such as the Maldives Association of Tourism Industry (MATI), MATATO and Maldives Association of Construction Industry (MACI). Project activities also aim to target the Maldives Global Compact network that is currently being registered in the Maldives. These stakeholders are aware of the</w:t>
      </w:r>
      <w:r w:rsidR="001F18D4" w:rsidRPr="00CD3D9C">
        <w:rPr>
          <w:szCs w:val="20"/>
        </w:rPr>
        <w:t xml:space="preserve"> planned</w:t>
      </w:r>
      <w:r w:rsidRPr="00CD3D9C">
        <w:rPr>
          <w:szCs w:val="20"/>
        </w:rPr>
        <w:t xml:space="preserve"> INFF process in the Maldives, </w:t>
      </w:r>
      <w:r w:rsidR="00933BF0">
        <w:rPr>
          <w:szCs w:val="20"/>
        </w:rPr>
        <w:t xml:space="preserve">and </w:t>
      </w:r>
      <w:r w:rsidRPr="00CD3D9C">
        <w:rPr>
          <w:szCs w:val="20"/>
        </w:rPr>
        <w:t xml:space="preserve">the potential opportunity to participate in the INFF </w:t>
      </w:r>
      <w:r w:rsidR="001F18D4" w:rsidRPr="00CD3D9C">
        <w:rPr>
          <w:szCs w:val="20"/>
        </w:rPr>
        <w:t>O</w:t>
      </w:r>
      <w:r w:rsidRPr="00CD3D9C">
        <w:rPr>
          <w:szCs w:val="20"/>
        </w:rPr>
        <w:t xml:space="preserve">versight </w:t>
      </w:r>
      <w:r w:rsidR="001F18D4" w:rsidRPr="00CD3D9C">
        <w:rPr>
          <w:szCs w:val="20"/>
        </w:rPr>
        <w:t>C</w:t>
      </w:r>
      <w:r w:rsidRPr="00CD3D9C">
        <w:rPr>
          <w:szCs w:val="20"/>
        </w:rPr>
        <w:t xml:space="preserve">ommittee. Many stakeholders have already expressed interest to </w:t>
      </w:r>
      <w:r w:rsidR="001F18D4" w:rsidRPr="00CD3D9C">
        <w:rPr>
          <w:szCs w:val="20"/>
        </w:rPr>
        <w:t>the development</w:t>
      </w:r>
      <w:r w:rsidR="00B258E7" w:rsidRPr="00CD3D9C">
        <w:rPr>
          <w:szCs w:val="20"/>
        </w:rPr>
        <w:t xml:space="preserve"> of the </w:t>
      </w:r>
      <w:r w:rsidR="00743F0E" w:rsidRPr="00CD3D9C">
        <w:rPr>
          <w:color w:val="000000" w:themeColor="text1"/>
          <w:szCs w:val="20"/>
        </w:rPr>
        <w:t xml:space="preserve">National Integrated Financing Strategy </w:t>
      </w:r>
      <w:r w:rsidR="00B258E7" w:rsidRPr="00CD3D9C">
        <w:rPr>
          <w:szCs w:val="20"/>
        </w:rPr>
        <w:t xml:space="preserve">proposed under Output 2.1 of the JP. Stakeholders also expressed the urgent need to build capacity of the public-private dialogue platforms which has been addressed in the JP under Output 3.2. </w:t>
      </w:r>
    </w:p>
    <w:p w14:paraId="454EEBCD" w14:textId="6431A2A8" w:rsidR="00AB0D69" w:rsidRPr="00CD3D9C" w:rsidRDefault="00AB0D69" w:rsidP="009D102C">
      <w:pPr>
        <w:rPr>
          <w:b/>
          <w:i/>
          <w:color w:val="2F5496" w:themeColor="accent1" w:themeShade="BF"/>
          <w:szCs w:val="20"/>
        </w:rPr>
      </w:pPr>
    </w:p>
    <w:p w14:paraId="7367CEBE" w14:textId="57A381DD" w:rsidR="00AB0D69" w:rsidRPr="00CD3D9C" w:rsidRDefault="00C5150D" w:rsidP="001F18D4">
      <w:pPr>
        <w:rPr>
          <w:szCs w:val="20"/>
        </w:rPr>
      </w:pPr>
      <w:r w:rsidRPr="00CD3D9C">
        <w:rPr>
          <w:szCs w:val="20"/>
        </w:rPr>
        <w:t>The UN RC will lead political engagement at the highest level with the President</w:t>
      </w:r>
      <w:r w:rsidR="00933BF0">
        <w:rPr>
          <w:szCs w:val="20"/>
        </w:rPr>
        <w:t xml:space="preserve"> and </w:t>
      </w:r>
      <w:r w:rsidR="00FA1388">
        <w:rPr>
          <w:szCs w:val="20"/>
        </w:rPr>
        <w:t>M</w:t>
      </w:r>
      <w:r w:rsidRPr="00CD3D9C">
        <w:rPr>
          <w:szCs w:val="20"/>
        </w:rPr>
        <w:t>embers of Cabinet</w:t>
      </w:r>
      <w:r w:rsidR="00933BF0">
        <w:rPr>
          <w:szCs w:val="20"/>
        </w:rPr>
        <w:t>,</w:t>
      </w:r>
      <w:r w:rsidRPr="00CD3D9C">
        <w:rPr>
          <w:szCs w:val="20"/>
        </w:rPr>
        <w:t xml:space="preserve"> and will continue to advocate the INFF </w:t>
      </w:r>
      <w:r w:rsidR="000671F4">
        <w:rPr>
          <w:szCs w:val="20"/>
        </w:rPr>
        <w:t>operationalization</w:t>
      </w:r>
      <w:r w:rsidRPr="00CD3D9C">
        <w:rPr>
          <w:szCs w:val="20"/>
        </w:rPr>
        <w:t xml:space="preserve"> in the Maldives. </w:t>
      </w:r>
      <w:r w:rsidR="001F18D4" w:rsidRPr="00CD3D9C">
        <w:rPr>
          <w:szCs w:val="20"/>
        </w:rPr>
        <w:t xml:space="preserve">The RC will play a central role in ensuring that the UN conveys a harmonized message at all policy levels with the Government and other </w:t>
      </w:r>
      <w:r w:rsidR="00FA1388">
        <w:rPr>
          <w:szCs w:val="20"/>
        </w:rPr>
        <w:t>a</w:t>
      </w:r>
      <w:r w:rsidR="001F18D4" w:rsidRPr="00CD3D9C">
        <w:rPr>
          <w:szCs w:val="20"/>
        </w:rPr>
        <w:t xml:space="preserve">uthorities. To ensure RC is enabled with proper mechanism to provide guidance, the RC will represent the UN </w:t>
      </w:r>
      <w:r w:rsidR="00367AE7">
        <w:rPr>
          <w:szCs w:val="20"/>
        </w:rPr>
        <w:t>on</w:t>
      </w:r>
      <w:r w:rsidR="001F18D4" w:rsidRPr="00CD3D9C">
        <w:rPr>
          <w:szCs w:val="20"/>
        </w:rPr>
        <w:t xml:space="preserve"> the INFF oversight committee. </w:t>
      </w:r>
      <w:r w:rsidR="00367AE7">
        <w:rPr>
          <w:szCs w:val="20"/>
        </w:rPr>
        <w:t>B</w:t>
      </w:r>
      <w:r w:rsidR="00367AE7" w:rsidRPr="00CD3D9C">
        <w:rPr>
          <w:szCs w:val="20"/>
        </w:rPr>
        <w:t>e</w:t>
      </w:r>
      <w:r w:rsidR="00367AE7">
        <w:rPr>
          <w:szCs w:val="20"/>
        </w:rPr>
        <w:t>ar</w:t>
      </w:r>
      <w:r w:rsidR="00367AE7" w:rsidRPr="00CD3D9C">
        <w:rPr>
          <w:szCs w:val="20"/>
        </w:rPr>
        <w:t xml:space="preserve">ing </w:t>
      </w:r>
      <w:r w:rsidRPr="00CD3D9C">
        <w:rPr>
          <w:szCs w:val="20"/>
        </w:rPr>
        <w:t>responsib</w:t>
      </w:r>
      <w:r w:rsidR="00367AE7">
        <w:rPr>
          <w:szCs w:val="20"/>
        </w:rPr>
        <w:t>ility</w:t>
      </w:r>
      <w:r w:rsidRPr="00CD3D9C">
        <w:rPr>
          <w:szCs w:val="20"/>
        </w:rPr>
        <w:t xml:space="preserve"> to monitor the implementation of this JP,</w:t>
      </w:r>
      <w:r w:rsidR="00367AE7">
        <w:rPr>
          <w:szCs w:val="20"/>
        </w:rPr>
        <w:t xml:space="preserve"> the RC</w:t>
      </w:r>
      <w:r w:rsidRPr="00CD3D9C">
        <w:rPr>
          <w:szCs w:val="20"/>
        </w:rPr>
        <w:t xml:space="preserve"> will work in close collaboration with the UNCT to achieve the outcomes </w:t>
      </w:r>
      <w:r w:rsidR="001F18D4" w:rsidRPr="00CD3D9C">
        <w:rPr>
          <w:szCs w:val="20"/>
        </w:rPr>
        <w:t>in the JP</w:t>
      </w:r>
      <w:r w:rsidRPr="00CD3D9C">
        <w:rPr>
          <w:szCs w:val="20"/>
        </w:rPr>
        <w:t xml:space="preserve">. On a quarterly basis, the JP progress update will be tabled and discussed during the UNCT meeting. </w:t>
      </w:r>
    </w:p>
    <w:p w14:paraId="7C6A8327" w14:textId="77777777" w:rsidR="009D102C" w:rsidRPr="00CD3D9C" w:rsidRDefault="009D102C" w:rsidP="0041187E">
      <w:pPr>
        <w:rPr>
          <w:b/>
          <w:color w:val="2F5496" w:themeColor="accent1" w:themeShade="BF"/>
          <w:szCs w:val="20"/>
        </w:rPr>
      </w:pPr>
    </w:p>
    <w:p w14:paraId="7A761294" w14:textId="7AE2AA34" w:rsidR="000806F3" w:rsidRPr="00CD3D9C" w:rsidRDefault="000806F3" w:rsidP="005D7E9E">
      <w:pPr>
        <w:rPr>
          <w:szCs w:val="20"/>
        </w:rPr>
      </w:pPr>
      <w:r w:rsidRPr="00CD3D9C">
        <w:rPr>
          <w:szCs w:val="20"/>
        </w:rPr>
        <w:t>The JP is</w:t>
      </w:r>
      <w:r w:rsidR="00117759" w:rsidRPr="00CD3D9C">
        <w:rPr>
          <w:szCs w:val="20"/>
        </w:rPr>
        <w:t xml:space="preserve"> creating the environment to bring in the expertise of </w:t>
      </w:r>
      <w:r w:rsidR="00C84D7E" w:rsidRPr="00CD3D9C">
        <w:rPr>
          <w:szCs w:val="20"/>
        </w:rPr>
        <w:t xml:space="preserve">the </w:t>
      </w:r>
      <w:r w:rsidRPr="00CD3D9C">
        <w:rPr>
          <w:szCs w:val="20"/>
        </w:rPr>
        <w:t>World Bank, ADB</w:t>
      </w:r>
      <w:r w:rsidR="00157FC3">
        <w:rPr>
          <w:szCs w:val="20"/>
        </w:rPr>
        <w:t xml:space="preserve"> and the</w:t>
      </w:r>
      <w:r w:rsidRPr="00CD3D9C">
        <w:rPr>
          <w:szCs w:val="20"/>
        </w:rPr>
        <w:t xml:space="preserve"> IsDB. UNDP has conducted direct consultations with ADB</w:t>
      </w:r>
      <w:r w:rsidR="00157FC3">
        <w:rPr>
          <w:szCs w:val="20"/>
        </w:rPr>
        <w:t xml:space="preserve"> and</w:t>
      </w:r>
      <w:r w:rsidRPr="00CD3D9C">
        <w:rPr>
          <w:szCs w:val="20"/>
        </w:rPr>
        <w:t xml:space="preserve"> IsDB</w:t>
      </w:r>
      <w:r w:rsidR="00157FC3">
        <w:rPr>
          <w:szCs w:val="20"/>
        </w:rPr>
        <w:t xml:space="preserve"> and collaborated on the review of the JP proposal</w:t>
      </w:r>
      <w:r w:rsidRPr="00CD3D9C">
        <w:rPr>
          <w:szCs w:val="20"/>
        </w:rPr>
        <w:t xml:space="preserve">. ADB and IsDB will provide their regional expertise and support in the area of private sector engagement which in turn will build in the coherence of their country programme interventions in the Maldives with JP interventions. </w:t>
      </w:r>
      <w:r w:rsidR="006F6A89" w:rsidRPr="00CD3D9C">
        <w:rPr>
          <w:szCs w:val="20"/>
        </w:rPr>
        <w:t xml:space="preserve">UNICEF and </w:t>
      </w:r>
      <w:r w:rsidR="00A97746" w:rsidRPr="00CD3D9C">
        <w:rPr>
          <w:szCs w:val="20"/>
        </w:rPr>
        <w:t>WHO</w:t>
      </w:r>
      <w:r w:rsidR="006F6A89" w:rsidRPr="00CD3D9C">
        <w:rPr>
          <w:szCs w:val="20"/>
        </w:rPr>
        <w:t xml:space="preserve"> are</w:t>
      </w:r>
      <w:r w:rsidRPr="00CD3D9C">
        <w:rPr>
          <w:szCs w:val="20"/>
        </w:rPr>
        <w:t xml:space="preserve"> currently discussing with the World Bank </w:t>
      </w:r>
      <w:r w:rsidR="008F45A0">
        <w:rPr>
          <w:szCs w:val="20"/>
        </w:rPr>
        <w:t>potentially</w:t>
      </w:r>
      <w:r w:rsidRPr="00CD3D9C">
        <w:rPr>
          <w:szCs w:val="20"/>
        </w:rPr>
        <w:t xml:space="preserve"> jointly supporting the ongoing public finance reforms and to build in the complementarity of the JP activities with the World Banks PER of the social sector. The INFF oversight committee will identify more streamlined coordination and engagement with these agencies through the implementation of the JP. </w:t>
      </w:r>
    </w:p>
    <w:p w14:paraId="09B25518" w14:textId="19771FB6" w:rsidR="000806F3" w:rsidRPr="00CD3D9C" w:rsidRDefault="000806F3" w:rsidP="005D7E9E">
      <w:pPr>
        <w:rPr>
          <w:szCs w:val="20"/>
        </w:rPr>
      </w:pPr>
    </w:p>
    <w:p w14:paraId="0A08401E" w14:textId="345EFAF2" w:rsidR="000806F3" w:rsidRPr="00CD3D9C" w:rsidRDefault="000806F3" w:rsidP="005D7E9E">
      <w:pPr>
        <w:rPr>
          <w:szCs w:val="20"/>
        </w:rPr>
      </w:pPr>
      <w:r w:rsidRPr="00CD3D9C">
        <w:rPr>
          <w:szCs w:val="20"/>
        </w:rPr>
        <w:t xml:space="preserve">At </w:t>
      </w:r>
      <w:r w:rsidR="008F45A0">
        <w:rPr>
          <w:szCs w:val="20"/>
        </w:rPr>
        <w:t xml:space="preserve">the </w:t>
      </w:r>
      <w:r w:rsidRPr="00CD3D9C">
        <w:rPr>
          <w:szCs w:val="20"/>
        </w:rPr>
        <w:t xml:space="preserve">country level, the JP will build on </w:t>
      </w:r>
      <w:r w:rsidR="00AB0D69" w:rsidRPr="00CD3D9C">
        <w:rPr>
          <w:szCs w:val="20"/>
        </w:rPr>
        <w:t xml:space="preserve">existing </w:t>
      </w:r>
      <w:r w:rsidRPr="00CD3D9C">
        <w:rPr>
          <w:szCs w:val="20"/>
        </w:rPr>
        <w:t>UNESCAP support to the National Bureau of Statistics to update the SDG indicator baselines and performance assessment to identify priority areas for financing. Similarly, the JP will utilize the recommendations of the UNDESA supported partnership landscape assessment. The JP will leverage the UNESCAP support to member states on the advocacy and capacity building extended on the area of financing for development in the regio</w:t>
      </w:r>
      <w:r w:rsidR="00AB0D69" w:rsidRPr="00CD3D9C">
        <w:rPr>
          <w:szCs w:val="20"/>
        </w:rPr>
        <w:t xml:space="preserve">n which has benefited government officials in the Maldives. </w:t>
      </w:r>
    </w:p>
    <w:p w14:paraId="31794A58" w14:textId="77777777" w:rsidR="000806F3" w:rsidRPr="00CD3D9C" w:rsidRDefault="000806F3" w:rsidP="005D7E9E">
      <w:pPr>
        <w:rPr>
          <w:szCs w:val="20"/>
        </w:rPr>
      </w:pPr>
    </w:p>
    <w:p w14:paraId="6DD68D1C" w14:textId="3ACDF4C6" w:rsidR="00337232" w:rsidRPr="00CD3D9C" w:rsidRDefault="000806F3" w:rsidP="005D7E9E">
      <w:pPr>
        <w:rPr>
          <w:szCs w:val="20"/>
        </w:rPr>
      </w:pPr>
      <w:bookmarkStart w:id="33" w:name="_Hlk34856404"/>
      <w:r w:rsidRPr="00CD3D9C">
        <w:rPr>
          <w:szCs w:val="20"/>
        </w:rPr>
        <w:t xml:space="preserve">UNDP Maldives is </w:t>
      </w:r>
      <w:r w:rsidR="00394598" w:rsidRPr="00CD3D9C">
        <w:rPr>
          <w:szCs w:val="20"/>
        </w:rPr>
        <w:t xml:space="preserve">currently </w:t>
      </w:r>
      <w:r w:rsidRPr="00CD3D9C">
        <w:rPr>
          <w:szCs w:val="20"/>
        </w:rPr>
        <w:t>mobilizing the global and regional expertise from UNDPs Finance Sector Hub to provide technical advice and support throughout the ongoing DFA and the proposed INFF process under the JP. This is also connected with the Global Policy Network (GPN</w:t>
      </w:r>
      <w:r w:rsidR="005D7E9E" w:rsidRPr="00CD3D9C">
        <w:rPr>
          <w:szCs w:val="20"/>
        </w:rPr>
        <w:t>)</w:t>
      </w:r>
      <w:r w:rsidRPr="00CD3D9C">
        <w:rPr>
          <w:szCs w:val="20"/>
        </w:rPr>
        <w:t xml:space="preserve"> approach of UNDP COs sharing their current solutions and scaling them up and adapting them to country context.</w:t>
      </w:r>
    </w:p>
    <w:p w14:paraId="4C69B853" w14:textId="77777777" w:rsidR="005D7E9E" w:rsidRPr="00CD3D9C" w:rsidRDefault="005D7E9E" w:rsidP="005D7E9E">
      <w:pPr>
        <w:rPr>
          <w:szCs w:val="20"/>
        </w:rPr>
      </w:pPr>
    </w:p>
    <w:p w14:paraId="0E3376F6" w14:textId="2AA40FFD" w:rsidR="005D7E9E" w:rsidRPr="00CD3D9C" w:rsidRDefault="00337232" w:rsidP="005D7E9E">
      <w:pPr>
        <w:rPr>
          <w:szCs w:val="20"/>
        </w:rPr>
      </w:pPr>
      <w:r w:rsidRPr="00CD3D9C">
        <w:rPr>
          <w:szCs w:val="20"/>
        </w:rPr>
        <w:t xml:space="preserve">Beyond UNDP, </w:t>
      </w:r>
      <w:r w:rsidR="005D7E9E" w:rsidRPr="00CD3D9C">
        <w:rPr>
          <w:szCs w:val="20"/>
        </w:rPr>
        <w:t>the JP is accessing</w:t>
      </w:r>
      <w:r w:rsidRPr="00CD3D9C">
        <w:rPr>
          <w:szCs w:val="20"/>
        </w:rPr>
        <w:t xml:space="preserve"> </w:t>
      </w:r>
      <w:r w:rsidR="005D7E9E" w:rsidRPr="00CD3D9C">
        <w:rPr>
          <w:szCs w:val="20"/>
        </w:rPr>
        <w:t>the expertise</w:t>
      </w:r>
      <w:r w:rsidRPr="00CD3D9C">
        <w:rPr>
          <w:szCs w:val="20"/>
        </w:rPr>
        <w:t xml:space="preserve"> of public finance from UNICEF</w:t>
      </w:r>
      <w:r w:rsidR="005D7E9E" w:rsidRPr="00CD3D9C">
        <w:rPr>
          <w:szCs w:val="20"/>
        </w:rPr>
        <w:t>, WHO and UNFPA. WHO has been supporting Member States to develop and strengthen health financing systems guided by the 2011 World Health Assembly Resolution and based on the recommendations from the World Health Report 2010</w:t>
      </w:r>
      <w:r w:rsidR="0079268C">
        <w:rPr>
          <w:szCs w:val="20"/>
        </w:rPr>
        <w:t>.</w:t>
      </w:r>
      <w:r w:rsidR="005D7E9E" w:rsidRPr="00CD3D9C">
        <w:rPr>
          <w:szCs w:val="20"/>
        </w:rPr>
        <w:t xml:space="preserve"> The technical expertise from three working levels of WHO are guiding countries to reduce financial barriers to access healthcare and using funds in a way that promotes efficiency and equity. Developments in these key health financing areas will determine whether health services exist and are available for everyone and whether people can afford to use health services when they need them. WHO will facilitate bringing expertise beyond WHO for high quality technical assistance from Alliance for Health Policy and Systems Research and also WHO Collaborating Centers in the areas of health financing and beyond. The effort </w:t>
      </w:r>
      <w:r w:rsidR="0079268C">
        <w:rPr>
          <w:szCs w:val="20"/>
        </w:rPr>
        <w:t>will</w:t>
      </w:r>
      <w:r w:rsidR="005D7E9E" w:rsidRPr="00CD3D9C">
        <w:rPr>
          <w:szCs w:val="20"/>
        </w:rPr>
        <w:t xml:space="preserve"> continue </w:t>
      </w:r>
      <w:r w:rsidR="0079268C">
        <w:rPr>
          <w:szCs w:val="20"/>
        </w:rPr>
        <w:t xml:space="preserve">to advocate </w:t>
      </w:r>
      <w:r w:rsidR="005D7E9E" w:rsidRPr="00CD3D9C">
        <w:rPr>
          <w:szCs w:val="20"/>
        </w:rPr>
        <w:t>for considering recommendations within health financing strategy and rationale resource allocation for achieving better outcomes across SDGs</w:t>
      </w:r>
      <w:r w:rsidR="0079268C">
        <w:rPr>
          <w:szCs w:val="20"/>
        </w:rPr>
        <w:t>.</w:t>
      </w:r>
    </w:p>
    <w:p w14:paraId="3A295815" w14:textId="77777777" w:rsidR="005D7E9E" w:rsidRPr="00CD3D9C" w:rsidRDefault="005D7E9E" w:rsidP="005D7E9E">
      <w:pPr>
        <w:rPr>
          <w:szCs w:val="20"/>
        </w:rPr>
      </w:pPr>
    </w:p>
    <w:p w14:paraId="6B9FA9B4" w14:textId="4E217058" w:rsidR="00DF11AA" w:rsidRPr="00CD3D9C" w:rsidRDefault="005D7E9E" w:rsidP="005D7E9E">
      <w:pPr>
        <w:rPr>
          <w:szCs w:val="20"/>
        </w:rPr>
      </w:pPr>
      <w:r w:rsidRPr="00CD3D9C">
        <w:rPr>
          <w:szCs w:val="20"/>
        </w:rPr>
        <w:t>UNICEF has global expertise in the area of Public Finance for Children which will be mobilized for the JP. UNFPA will also draw on regional expertise and utilize UNFPA Bangkok regional Hub to support in country capacity in delivering the activities such as costing services.</w:t>
      </w:r>
    </w:p>
    <w:bookmarkEnd w:id="33"/>
    <w:p w14:paraId="22ACC38F" w14:textId="77777777" w:rsidR="00FA6CA6" w:rsidRPr="00CD3D9C" w:rsidRDefault="00FA6CA6" w:rsidP="0041187E">
      <w:pPr>
        <w:rPr>
          <w:i/>
          <w:color w:val="C45911" w:themeColor="accent2" w:themeShade="BF"/>
          <w:szCs w:val="20"/>
        </w:rPr>
      </w:pPr>
    </w:p>
    <w:p w14:paraId="1155E12E" w14:textId="01E643D1" w:rsidR="002C2DDE" w:rsidRPr="00F05958" w:rsidRDefault="00775A32" w:rsidP="001134F6">
      <w:pPr>
        <w:rPr>
          <w:szCs w:val="20"/>
        </w:rPr>
      </w:pPr>
      <w:r w:rsidRPr="00CD3D9C">
        <w:rPr>
          <w:szCs w:val="20"/>
        </w:rPr>
        <w:t xml:space="preserve">The European Union works closely with UNDP and other UN agencies in the Maldives. They are currently directly funding UNDPs governance portfolio activities and has increased its commitments to provide funding for development in the Maldives. The JP will leverage UNDPs existing partnership with EU to communicate on the JP initiative, to report progress and mobilize additional support for the INFF process in the Maldives. </w:t>
      </w:r>
    </w:p>
    <w:p w14:paraId="538DFA35" w14:textId="77777777" w:rsidR="00F05958" w:rsidRDefault="00F05958" w:rsidP="001134F6">
      <w:pPr>
        <w:rPr>
          <w:b/>
          <w:color w:val="0070C0"/>
        </w:rPr>
      </w:pPr>
    </w:p>
    <w:p w14:paraId="3E39D144" w14:textId="77777777" w:rsidR="009C6849" w:rsidRDefault="009C6849" w:rsidP="001134F6">
      <w:pPr>
        <w:rPr>
          <w:b/>
          <w:color w:val="0070C0"/>
        </w:rPr>
      </w:pPr>
    </w:p>
    <w:p w14:paraId="578BE2B8" w14:textId="77777777" w:rsidR="009C6849" w:rsidRDefault="009C6849" w:rsidP="001134F6">
      <w:pPr>
        <w:rPr>
          <w:b/>
          <w:color w:val="0070C0"/>
        </w:rPr>
      </w:pPr>
    </w:p>
    <w:p w14:paraId="1299BEB6" w14:textId="4B1DF6A5" w:rsidR="000741B7" w:rsidRPr="00F33D58" w:rsidRDefault="00C54169" w:rsidP="001134F6">
      <w:pPr>
        <w:rPr>
          <w:b/>
          <w:color w:val="0070C0"/>
        </w:rPr>
      </w:pPr>
      <w:r w:rsidRPr="00F33D58">
        <w:rPr>
          <w:b/>
          <w:color w:val="0070C0"/>
        </w:rPr>
        <w:t>3</w:t>
      </w:r>
      <w:r w:rsidR="00C713FE" w:rsidRPr="00F33D58">
        <w:rPr>
          <w:b/>
          <w:color w:val="0070C0"/>
        </w:rPr>
        <w:t xml:space="preserve">. </w:t>
      </w:r>
      <w:r w:rsidRPr="00F33D58">
        <w:rPr>
          <w:b/>
          <w:color w:val="0070C0"/>
        </w:rPr>
        <w:t>Programme i</w:t>
      </w:r>
      <w:r w:rsidR="00C713FE" w:rsidRPr="00F33D58">
        <w:rPr>
          <w:b/>
          <w:color w:val="0070C0"/>
        </w:rPr>
        <w:t>mplementation</w:t>
      </w:r>
    </w:p>
    <w:p w14:paraId="174D272D" w14:textId="77777777" w:rsidR="00C54169" w:rsidRPr="00F33D58" w:rsidRDefault="00C54169" w:rsidP="001134F6">
      <w:pPr>
        <w:rPr>
          <w:i/>
          <w:color w:val="000000" w:themeColor="text1"/>
        </w:rPr>
      </w:pPr>
    </w:p>
    <w:p w14:paraId="7BCC2AD7" w14:textId="1AA5567E" w:rsidR="009116AF" w:rsidRPr="00F33D58" w:rsidRDefault="00A81385" w:rsidP="00775A32">
      <w:pPr>
        <w:rPr>
          <w:b/>
          <w:color w:val="000000" w:themeColor="text1"/>
        </w:rPr>
      </w:pPr>
      <w:r w:rsidRPr="00F33D58">
        <w:rPr>
          <w:b/>
          <w:color w:val="000000" w:themeColor="text1"/>
        </w:rPr>
        <w:lastRenderedPageBreak/>
        <w:t>3</w:t>
      </w:r>
      <w:r w:rsidR="00C54169" w:rsidRPr="00F33D58">
        <w:rPr>
          <w:b/>
          <w:color w:val="000000" w:themeColor="text1"/>
        </w:rPr>
        <w:t xml:space="preserve">.1 </w:t>
      </w:r>
      <w:r w:rsidR="00405578" w:rsidRPr="00F33D58">
        <w:rPr>
          <w:b/>
          <w:color w:val="000000" w:themeColor="text1"/>
        </w:rPr>
        <w:t>Governance and i</w:t>
      </w:r>
      <w:r w:rsidR="00C54169" w:rsidRPr="00F33D58">
        <w:rPr>
          <w:b/>
          <w:color w:val="000000" w:themeColor="text1"/>
        </w:rPr>
        <w:t>mplementation arrangements</w:t>
      </w:r>
      <w:r w:rsidR="0093195D" w:rsidRPr="00F33D58">
        <w:rPr>
          <w:b/>
          <w:color w:val="000000" w:themeColor="text1"/>
        </w:rPr>
        <w:t xml:space="preserve"> (max 3 pages)</w:t>
      </w:r>
      <w:r w:rsidR="008C5CAF" w:rsidRPr="00F33D58">
        <w:rPr>
          <w:b/>
          <w:color w:val="000000" w:themeColor="text1"/>
        </w:rPr>
        <w:t xml:space="preserve"> </w:t>
      </w:r>
    </w:p>
    <w:p w14:paraId="3535258F" w14:textId="5E32921B" w:rsidR="002C2DDE" w:rsidRPr="000671F4" w:rsidRDefault="000671F4" w:rsidP="001134F6">
      <w:pPr>
        <w:rPr>
          <w:szCs w:val="20"/>
        </w:rPr>
      </w:pPr>
      <w:r w:rsidRPr="000671F4">
        <w:rPr>
          <w:szCs w:val="20"/>
        </w:rPr>
        <w:t xml:space="preserve">The Government of Maldives has recently formed the DFA/INFF oversight team as part of the INFF inception phase implementation. The current DFA/INFF oversight team composition and role is focused on guiding the development of the DFA and INFF roadmap. In the current set up, the oversight team is supported by a technical team that will lead the implementation of the DFA and the formulation of the INFF roadmap (see table 3 below on the current composition of the oversight team). The oversight team has endorsed the scope of the DFA, will validate the initial and final findings and the steps and financing solutions to strengthen an integrated approach to financing to be proposed in the INFF roadmap. The technical team leads the overall management of the DFA process and contributes to the data collection and analysis process. The oversight team will have the ownership of the INFF inception phase deliverables; the DFA and the INFF roadmap and will oversee the implementation of the roadmap recommendations. Under the JP outcome 3, support will be provided to consolidate the </w:t>
      </w:r>
      <w:r w:rsidR="00157FC3">
        <w:rPr>
          <w:szCs w:val="20"/>
        </w:rPr>
        <w:t xml:space="preserve">existing </w:t>
      </w:r>
      <w:r w:rsidRPr="000671F4">
        <w:rPr>
          <w:szCs w:val="20"/>
        </w:rPr>
        <w:t xml:space="preserve">oversight team into a </w:t>
      </w:r>
      <w:r w:rsidR="00A25822" w:rsidRPr="000671F4">
        <w:rPr>
          <w:szCs w:val="20"/>
        </w:rPr>
        <w:t>full-fledged</w:t>
      </w:r>
      <w:r w:rsidRPr="000671F4">
        <w:rPr>
          <w:szCs w:val="20"/>
        </w:rPr>
        <w:t xml:space="preserve"> INFF Oversight Committee which will oversee the implementation of the INFF roadmap and the National Integrated Financing Strategy.</w:t>
      </w:r>
    </w:p>
    <w:p w14:paraId="5C028D49" w14:textId="77777777" w:rsidR="00BB492E" w:rsidRPr="00CD3D9C" w:rsidRDefault="00BB492E" w:rsidP="009208B5">
      <w:pPr>
        <w:rPr>
          <w:b/>
          <w:color w:val="2F5496" w:themeColor="accent1" w:themeShade="BF"/>
          <w:szCs w:val="20"/>
        </w:rPr>
      </w:pPr>
    </w:p>
    <w:tbl>
      <w:tblPr>
        <w:tblW w:w="9360" w:type="dxa"/>
        <w:tblInd w:w="-5" w:type="dxa"/>
        <w:tblLook w:val="04A0" w:firstRow="1" w:lastRow="0" w:firstColumn="1" w:lastColumn="0" w:noHBand="0" w:noVBand="1"/>
      </w:tblPr>
      <w:tblGrid>
        <w:gridCol w:w="4230"/>
        <w:gridCol w:w="5130"/>
      </w:tblGrid>
      <w:tr w:rsidR="006E25D0" w:rsidRPr="00F05958" w14:paraId="3B112F7E" w14:textId="77777777" w:rsidTr="00A14D9F">
        <w:trPr>
          <w:trHeight w:val="300"/>
        </w:trPr>
        <w:tc>
          <w:tcPr>
            <w:tcW w:w="9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64AB6D" w14:textId="53294611" w:rsidR="006E25D0" w:rsidRPr="00F05958" w:rsidRDefault="006E25D0" w:rsidP="006E25D0">
            <w:pPr>
              <w:rPr>
                <w:rFonts w:eastAsia="Times New Roman"/>
                <w:szCs w:val="20"/>
              </w:rPr>
            </w:pPr>
            <w:r w:rsidRPr="00F05958">
              <w:rPr>
                <w:rFonts w:eastAsia="Times New Roman"/>
                <w:szCs w:val="20"/>
              </w:rPr>
              <w:t xml:space="preserve">Table 3 – Current composition of the </w:t>
            </w:r>
            <w:r w:rsidR="001F18D4" w:rsidRPr="00F05958">
              <w:rPr>
                <w:rFonts w:eastAsia="Times New Roman"/>
                <w:szCs w:val="20"/>
              </w:rPr>
              <w:t>DFA/INFF oversigh</w:t>
            </w:r>
            <w:r w:rsidR="006F548C" w:rsidRPr="00F05958">
              <w:rPr>
                <w:rFonts w:eastAsia="Times New Roman"/>
                <w:szCs w:val="20"/>
              </w:rPr>
              <w:t>t and technical</w:t>
            </w:r>
            <w:r w:rsidR="001F18D4" w:rsidRPr="00F05958">
              <w:rPr>
                <w:rFonts w:eastAsia="Times New Roman"/>
                <w:szCs w:val="20"/>
              </w:rPr>
              <w:t xml:space="preserve"> team </w:t>
            </w:r>
            <w:r w:rsidR="006C4182" w:rsidRPr="00F05958">
              <w:rPr>
                <w:rFonts w:eastAsia="Times New Roman"/>
                <w:szCs w:val="20"/>
              </w:rPr>
              <w:t xml:space="preserve"> </w:t>
            </w:r>
            <w:r w:rsidRPr="00F05958">
              <w:rPr>
                <w:rFonts w:eastAsia="Times New Roman"/>
                <w:szCs w:val="20"/>
              </w:rPr>
              <w:t xml:space="preserve"> </w:t>
            </w:r>
          </w:p>
        </w:tc>
      </w:tr>
      <w:tr w:rsidR="00BB492E" w:rsidRPr="00F05958" w14:paraId="6B6ADD36" w14:textId="77777777" w:rsidTr="006E25D0">
        <w:trPr>
          <w:trHeight w:val="300"/>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315CA" w14:textId="77777777" w:rsidR="00BB492E" w:rsidRPr="00F05958" w:rsidRDefault="00BB492E" w:rsidP="006E25D0">
            <w:pPr>
              <w:rPr>
                <w:rFonts w:eastAsia="Times New Roman"/>
                <w:szCs w:val="20"/>
              </w:rPr>
            </w:pPr>
            <w:r w:rsidRPr="00F05958">
              <w:rPr>
                <w:rFonts w:eastAsia="Times New Roman"/>
                <w:szCs w:val="20"/>
              </w:rPr>
              <w:t>Name</w:t>
            </w:r>
          </w:p>
        </w:tc>
        <w:tc>
          <w:tcPr>
            <w:tcW w:w="5130" w:type="dxa"/>
            <w:tcBorders>
              <w:top w:val="single" w:sz="4" w:space="0" w:color="auto"/>
              <w:left w:val="nil"/>
              <w:bottom w:val="single" w:sz="4" w:space="0" w:color="auto"/>
              <w:right w:val="single" w:sz="4" w:space="0" w:color="auto"/>
            </w:tcBorders>
            <w:shd w:val="clear" w:color="auto" w:fill="auto"/>
            <w:noWrap/>
            <w:vAlign w:val="bottom"/>
            <w:hideMark/>
          </w:tcPr>
          <w:p w14:paraId="5097D247" w14:textId="77777777" w:rsidR="00BB492E" w:rsidRPr="00F05958" w:rsidRDefault="00BB492E" w:rsidP="006E25D0">
            <w:pPr>
              <w:rPr>
                <w:rFonts w:eastAsia="Times New Roman"/>
                <w:szCs w:val="20"/>
              </w:rPr>
            </w:pPr>
            <w:r w:rsidRPr="00F05958">
              <w:rPr>
                <w:rFonts w:eastAsia="Times New Roman"/>
                <w:szCs w:val="20"/>
              </w:rPr>
              <w:t>Organization</w:t>
            </w:r>
          </w:p>
        </w:tc>
      </w:tr>
      <w:tr w:rsidR="00BB492E" w:rsidRPr="00F05958" w14:paraId="2D2305BB" w14:textId="77777777" w:rsidTr="006E25D0">
        <w:trPr>
          <w:trHeight w:val="300"/>
        </w:trPr>
        <w:tc>
          <w:tcPr>
            <w:tcW w:w="936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7DB53E46" w14:textId="77777777" w:rsidR="00BB492E" w:rsidRPr="00F05958" w:rsidRDefault="00BB492E" w:rsidP="006E25D0">
            <w:pPr>
              <w:rPr>
                <w:rFonts w:eastAsia="Times New Roman"/>
                <w:szCs w:val="20"/>
              </w:rPr>
            </w:pPr>
            <w:r w:rsidRPr="00F05958">
              <w:rPr>
                <w:rFonts w:eastAsia="Times New Roman"/>
                <w:szCs w:val="20"/>
              </w:rPr>
              <w:t>Oversight team</w:t>
            </w:r>
          </w:p>
        </w:tc>
      </w:tr>
      <w:tr w:rsidR="00BB492E" w:rsidRPr="00F05958" w14:paraId="73D80D54" w14:textId="77777777" w:rsidTr="006E25D0">
        <w:trPr>
          <w:trHeight w:val="300"/>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339FABFA" w14:textId="77777777" w:rsidR="00BB492E" w:rsidRPr="00F05958" w:rsidRDefault="00BB492E" w:rsidP="006E25D0">
            <w:pPr>
              <w:rPr>
                <w:rFonts w:eastAsia="Times New Roman"/>
                <w:szCs w:val="20"/>
              </w:rPr>
            </w:pPr>
            <w:r w:rsidRPr="00F05958">
              <w:rPr>
                <w:rFonts w:eastAsia="Times New Roman"/>
                <w:szCs w:val="20"/>
              </w:rPr>
              <w:t>Mr. Ismail Ali Manik (Chair)</w:t>
            </w:r>
          </w:p>
        </w:tc>
        <w:tc>
          <w:tcPr>
            <w:tcW w:w="5130" w:type="dxa"/>
            <w:tcBorders>
              <w:top w:val="nil"/>
              <w:left w:val="nil"/>
              <w:bottom w:val="single" w:sz="4" w:space="0" w:color="auto"/>
              <w:right w:val="single" w:sz="4" w:space="0" w:color="auto"/>
            </w:tcBorders>
            <w:shd w:val="clear" w:color="auto" w:fill="auto"/>
            <w:noWrap/>
            <w:vAlign w:val="bottom"/>
            <w:hideMark/>
          </w:tcPr>
          <w:p w14:paraId="0F9575E2" w14:textId="77777777" w:rsidR="00BB492E" w:rsidRPr="00F05958" w:rsidRDefault="00BB492E" w:rsidP="006E25D0">
            <w:pPr>
              <w:rPr>
                <w:rFonts w:eastAsia="Times New Roman"/>
                <w:szCs w:val="20"/>
              </w:rPr>
            </w:pPr>
            <w:r w:rsidRPr="00F05958">
              <w:rPr>
                <w:rFonts w:eastAsia="Times New Roman"/>
                <w:szCs w:val="20"/>
              </w:rPr>
              <w:t>Ministry of Finance</w:t>
            </w:r>
          </w:p>
        </w:tc>
      </w:tr>
      <w:tr w:rsidR="00BB492E" w:rsidRPr="00F05958" w14:paraId="41074A4C" w14:textId="77777777" w:rsidTr="006E25D0">
        <w:trPr>
          <w:trHeight w:val="300"/>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14:paraId="4284527E" w14:textId="4C1A478D" w:rsidR="00BB492E" w:rsidRPr="00F05958" w:rsidRDefault="00CF5924" w:rsidP="006E25D0">
            <w:pPr>
              <w:jc w:val="both"/>
              <w:rPr>
                <w:rFonts w:eastAsia="Times New Roman"/>
                <w:szCs w:val="20"/>
              </w:rPr>
            </w:pPr>
            <w:r w:rsidRPr="00F05958">
              <w:rPr>
                <w:rFonts w:eastAsia="Times New Roman"/>
                <w:szCs w:val="20"/>
              </w:rPr>
              <w:t>Dr. Ali</w:t>
            </w:r>
            <w:r w:rsidRPr="00F05958">
              <w:rPr>
                <w:szCs w:val="20"/>
              </w:rPr>
              <w:t xml:space="preserve"> Naseer</w:t>
            </w:r>
            <w:r w:rsidRPr="00F05958">
              <w:rPr>
                <w:rFonts w:eastAsia="Times New Roman"/>
                <w:szCs w:val="20"/>
              </w:rPr>
              <w:t xml:space="preserve"> Mohamed</w:t>
            </w:r>
            <w:r w:rsidR="00BB492E" w:rsidRPr="00F05958">
              <w:rPr>
                <w:rFonts w:eastAsia="Times New Roman"/>
                <w:szCs w:val="20"/>
              </w:rPr>
              <w:t xml:space="preserve"> </w:t>
            </w:r>
          </w:p>
        </w:tc>
        <w:tc>
          <w:tcPr>
            <w:tcW w:w="5130" w:type="dxa"/>
            <w:tcBorders>
              <w:top w:val="nil"/>
              <w:left w:val="nil"/>
              <w:bottom w:val="single" w:sz="4" w:space="0" w:color="auto"/>
              <w:right w:val="single" w:sz="4" w:space="0" w:color="auto"/>
            </w:tcBorders>
            <w:shd w:val="clear" w:color="auto" w:fill="auto"/>
            <w:noWrap/>
            <w:vAlign w:val="bottom"/>
            <w:hideMark/>
          </w:tcPr>
          <w:p w14:paraId="695D72BA" w14:textId="2737D3ED" w:rsidR="00BB492E" w:rsidRPr="00F05958" w:rsidRDefault="00BB492E" w:rsidP="006E25D0">
            <w:pPr>
              <w:rPr>
                <w:rFonts w:eastAsia="Times New Roman"/>
                <w:szCs w:val="20"/>
              </w:rPr>
            </w:pPr>
            <w:r w:rsidRPr="00F05958">
              <w:rPr>
                <w:rFonts w:eastAsia="Times New Roman"/>
                <w:szCs w:val="20"/>
              </w:rPr>
              <w:t xml:space="preserve">Ministry of Foreign Affairs, Chair of the </w:t>
            </w:r>
            <w:bookmarkStart w:id="34" w:name="_Hlk35767915"/>
            <w:r w:rsidR="00CF5924" w:rsidRPr="00F05958">
              <w:rPr>
                <w:rFonts w:eastAsia="Times New Roman"/>
                <w:szCs w:val="20"/>
              </w:rPr>
              <w:t xml:space="preserve">Aid Management and Coordination Committee </w:t>
            </w:r>
            <w:bookmarkEnd w:id="34"/>
          </w:p>
        </w:tc>
      </w:tr>
      <w:tr w:rsidR="00BB492E" w:rsidRPr="00F05958" w14:paraId="7A3C8DE2" w14:textId="77777777" w:rsidTr="006E25D0">
        <w:trPr>
          <w:trHeight w:val="300"/>
        </w:trPr>
        <w:tc>
          <w:tcPr>
            <w:tcW w:w="4230" w:type="dxa"/>
            <w:tcBorders>
              <w:top w:val="nil"/>
              <w:left w:val="single" w:sz="4" w:space="0" w:color="auto"/>
              <w:bottom w:val="single" w:sz="4" w:space="0" w:color="auto"/>
              <w:right w:val="single" w:sz="4" w:space="0" w:color="auto"/>
            </w:tcBorders>
            <w:shd w:val="clear" w:color="auto" w:fill="auto"/>
            <w:noWrap/>
            <w:vAlign w:val="center"/>
          </w:tcPr>
          <w:p w14:paraId="4FBA21B2" w14:textId="77777777" w:rsidR="00BB492E" w:rsidRPr="00F05958" w:rsidRDefault="00BB492E" w:rsidP="006E25D0">
            <w:pPr>
              <w:jc w:val="both"/>
              <w:rPr>
                <w:rFonts w:eastAsia="Times New Roman"/>
                <w:szCs w:val="20"/>
              </w:rPr>
            </w:pPr>
            <w:r w:rsidRPr="00F05958">
              <w:rPr>
                <w:rFonts w:eastAsia="Times New Roman"/>
                <w:szCs w:val="20"/>
              </w:rPr>
              <w:t xml:space="preserve">Mr. Mohamed Nashiz </w:t>
            </w:r>
          </w:p>
        </w:tc>
        <w:tc>
          <w:tcPr>
            <w:tcW w:w="5130" w:type="dxa"/>
            <w:tcBorders>
              <w:top w:val="nil"/>
              <w:left w:val="nil"/>
              <w:bottom w:val="single" w:sz="4" w:space="0" w:color="auto"/>
              <w:right w:val="single" w:sz="4" w:space="0" w:color="auto"/>
            </w:tcBorders>
            <w:shd w:val="clear" w:color="auto" w:fill="auto"/>
            <w:noWrap/>
            <w:vAlign w:val="bottom"/>
          </w:tcPr>
          <w:p w14:paraId="32AB8C92" w14:textId="77777777" w:rsidR="00BB492E" w:rsidRPr="00F05958" w:rsidRDefault="00BB492E" w:rsidP="006E25D0">
            <w:pPr>
              <w:rPr>
                <w:rFonts w:eastAsia="Times New Roman"/>
                <w:szCs w:val="20"/>
              </w:rPr>
            </w:pPr>
            <w:r w:rsidRPr="00F05958">
              <w:rPr>
                <w:rFonts w:eastAsia="Times New Roman"/>
                <w:szCs w:val="20"/>
              </w:rPr>
              <w:t>Chair, Public Finance Committee, People’s Majlis</w:t>
            </w:r>
          </w:p>
        </w:tc>
      </w:tr>
      <w:tr w:rsidR="00BB492E" w:rsidRPr="00F05958" w14:paraId="6AEF1D67" w14:textId="77777777" w:rsidTr="006E25D0">
        <w:trPr>
          <w:trHeight w:val="300"/>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14:paraId="001C16EF" w14:textId="7A3DA2BE" w:rsidR="00BB492E" w:rsidRPr="00F05958" w:rsidRDefault="00BB492E" w:rsidP="006E25D0">
            <w:pPr>
              <w:jc w:val="both"/>
              <w:rPr>
                <w:rFonts w:eastAsia="Times New Roman"/>
                <w:szCs w:val="20"/>
              </w:rPr>
            </w:pPr>
            <w:r w:rsidRPr="00F05958">
              <w:rPr>
                <w:rFonts w:eastAsia="Times New Roman"/>
                <w:szCs w:val="20"/>
              </w:rPr>
              <w:t>Ms. Aminath Shauna</w:t>
            </w:r>
          </w:p>
        </w:tc>
        <w:tc>
          <w:tcPr>
            <w:tcW w:w="5130" w:type="dxa"/>
            <w:tcBorders>
              <w:top w:val="nil"/>
              <w:left w:val="nil"/>
              <w:bottom w:val="single" w:sz="4" w:space="0" w:color="auto"/>
              <w:right w:val="single" w:sz="4" w:space="0" w:color="auto"/>
            </w:tcBorders>
            <w:shd w:val="clear" w:color="auto" w:fill="auto"/>
            <w:noWrap/>
            <w:vAlign w:val="bottom"/>
            <w:hideMark/>
          </w:tcPr>
          <w:p w14:paraId="50A87DCE" w14:textId="77777777" w:rsidR="00BB492E" w:rsidRPr="00F05958" w:rsidRDefault="00BB492E" w:rsidP="006E25D0">
            <w:pPr>
              <w:rPr>
                <w:rFonts w:eastAsia="Times New Roman"/>
                <w:szCs w:val="20"/>
              </w:rPr>
            </w:pPr>
            <w:r w:rsidRPr="00F05958">
              <w:rPr>
                <w:rFonts w:eastAsia="Times New Roman"/>
                <w:szCs w:val="20"/>
              </w:rPr>
              <w:t>President’s Office</w:t>
            </w:r>
          </w:p>
        </w:tc>
      </w:tr>
      <w:tr w:rsidR="00BB492E" w:rsidRPr="00F05958" w14:paraId="15937B61" w14:textId="77777777" w:rsidTr="006E25D0">
        <w:trPr>
          <w:trHeight w:val="300"/>
        </w:trPr>
        <w:tc>
          <w:tcPr>
            <w:tcW w:w="4230" w:type="dxa"/>
            <w:tcBorders>
              <w:top w:val="nil"/>
              <w:left w:val="single" w:sz="4" w:space="0" w:color="auto"/>
              <w:bottom w:val="single" w:sz="4" w:space="0" w:color="auto"/>
              <w:right w:val="single" w:sz="4" w:space="0" w:color="auto"/>
            </w:tcBorders>
            <w:shd w:val="clear" w:color="auto" w:fill="auto"/>
            <w:noWrap/>
            <w:vAlign w:val="bottom"/>
          </w:tcPr>
          <w:p w14:paraId="7247F146" w14:textId="77777777" w:rsidR="00BB492E" w:rsidRPr="00F05958" w:rsidRDefault="00BB492E" w:rsidP="006E25D0">
            <w:pPr>
              <w:rPr>
                <w:rFonts w:eastAsia="Times New Roman"/>
                <w:szCs w:val="20"/>
              </w:rPr>
            </w:pPr>
            <w:r w:rsidRPr="00F05958">
              <w:rPr>
                <w:rFonts w:eastAsia="Times New Roman"/>
                <w:szCs w:val="20"/>
              </w:rPr>
              <w:t>Ms. Idhuham Hussein</w:t>
            </w:r>
          </w:p>
        </w:tc>
        <w:tc>
          <w:tcPr>
            <w:tcW w:w="5130" w:type="dxa"/>
            <w:tcBorders>
              <w:top w:val="nil"/>
              <w:left w:val="nil"/>
              <w:bottom w:val="single" w:sz="4" w:space="0" w:color="auto"/>
              <w:right w:val="single" w:sz="4" w:space="0" w:color="auto"/>
            </w:tcBorders>
            <w:shd w:val="clear" w:color="auto" w:fill="auto"/>
            <w:noWrap/>
            <w:vAlign w:val="bottom"/>
          </w:tcPr>
          <w:p w14:paraId="4D000A2F" w14:textId="77777777" w:rsidR="00BB492E" w:rsidRPr="00F05958" w:rsidRDefault="00BB492E" w:rsidP="006E25D0">
            <w:pPr>
              <w:rPr>
                <w:rFonts w:eastAsia="Times New Roman"/>
                <w:szCs w:val="20"/>
              </w:rPr>
            </w:pPr>
            <w:r w:rsidRPr="00F05958">
              <w:rPr>
                <w:rFonts w:eastAsia="Times New Roman"/>
                <w:szCs w:val="20"/>
              </w:rPr>
              <w:t xml:space="preserve">Maldives Monetary Authority </w:t>
            </w:r>
          </w:p>
        </w:tc>
      </w:tr>
      <w:tr w:rsidR="00BB492E" w:rsidRPr="00F05958" w14:paraId="326B6EF2" w14:textId="77777777" w:rsidTr="006E25D0">
        <w:trPr>
          <w:trHeight w:val="300"/>
        </w:trPr>
        <w:tc>
          <w:tcPr>
            <w:tcW w:w="4230" w:type="dxa"/>
            <w:tcBorders>
              <w:top w:val="nil"/>
              <w:left w:val="single" w:sz="4" w:space="0" w:color="auto"/>
              <w:bottom w:val="single" w:sz="4" w:space="0" w:color="auto"/>
              <w:right w:val="single" w:sz="4" w:space="0" w:color="auto"/>
            </w:tcBorders>
            <w:shd w:val="clear" w:color="auto" w:fill="auto"/>
            <w:noWrap/>
            <w:vAlign w:val="bottom"/>
          </w:tcPr>
          <w:p w14:paraId="55F0E498" w14:textId="77777777" w:rsidR="00BB492E" w:rsidRPr="00F05958" w:rsidRDefault="00BB492E" w:rsidP="006E25D0">
            <w:pPr>
              <w:rPr>
                <w:rFonts w:eastAsia="Times New Roman"/>
                <w:szCs w:val="20"/>
              </w:rPr>
            </w:pPr>
            <w:r w:rsidRPr="00F05958">
              <w:rPr>
                <w:rFonts w:eastAsia="Times New Roman"/>
                <w:szCs w:val="20"/>
              </w:rPr>
              <w:t>Mr. Hassan Ziyath/ Mr. Ahmed Salih</w:t>
            </w:r>
          </w:p>
        </w:tc>
        <w:tc>
          <w:tcPr>
            <w:tcW w:w="5130" w:type="dxa"/>
            <w:tcBorders>
              <w:top w:val="nil"/>
              <w:left w:val="nil"/>
              <w:bottom w:val="single" w:sz="4" w:space="0" w:color="auto"/>
              <w:right w:val="single" w:sz="4" w:space="0" w:color="auto"/>
            </w:tcBorders>
            <w:shd w:val="clear" w:color="auto" w:fill="auto"/>
            <w:noWrap/>
            <w:vAlign w:val="bottom"/>
          </w:tcPr>
          <w:p w14:paraId="157E8971" w14:textId="77777777" w:rsidR="00BB492E" w:rsidRPr="00F05958" w:rsidRDefault="00BB492E" w:rsidP="006E25D0">
            <w:pPr>
              <w:rPr>
                <w:rFonts w:eastAsia="Times New Roman"/>
                <w:szCs w:val="20"/>
              </w:rPr>
            </w:pPr>
            <w:r w:rsidRPr="00F05958">
              <w:rPr>
                <w:rFonts w:eastAsia="Times New Roman"/>
                <w:szCs w:val="20"/>
              </w:rPr>
              <w:t>Auditor General’s Office</w:t>
            </w:r>
          </w:p>
        </w:tc>
      </w:tr>
      <w:tr w:rsidR="00BB492E" w:rsidRPr="00F05958" w14:paraId="29EFBD50" w14:textId="77777777" w:rsidTr="006E25D0">
        <w:trPr>
          <w:trHeight w:val="300"/>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5E8C0AE9" w14:textId="77777777" w:rsidR="00BB492E" w:rsidRPr="00F05958" w:rsidRDefault="00BB492E" w:rsidP="006E25D0">
            <w:pPr>
              <w:rPr>
                <w:rFonts w:eastAsia="Times New Roman"/>
                <w:szCs w:val="20"/>
              </w:rPr>
            </w:pPr>
            <w:r w:rsidRPr="00F05958">
              <w:rPr>
                <w:rFonts w:eastAsia="Times New Roman"/>
                <w:szCs w:val="20"/>
              </w:rPr>
              <w:t>Ms Khadija Naseem/Mr. Ajwad Musthafa</w:t>
            </w:r>
          </w:p>
        </w:tc>
        <w:tc>
          <w:tcPr>
            <w:tcW w:w="5130" w:type="dxa"/>
            <w:tcBorders>
              <w:top w:val="nil"/>
              <w:left w:val="nil"/>
              <w:bottom w:val="single" w:sz="4" w:space="0" w:color="auto"/>
              <w:right w:val="single" w:sz="4" w:space="0" w:color="auto"/>
            </w:tcBorders>
            <w:shd w:val="clear" w:color="auto" w:fill="auto"/>
            <w:noWrap/>
            <w:vAlign w:val="bottom"/>
            <w:hideMark/>
          </w:tcPr>
          <w:p w14:paraId="3D8B740C" w14:textId="77777777" w:rsidR="00BB492E" w:rsidRPr="00F05958" w:rsidRDefault="00BB492E" w:rsidP="006E25D0">
            <w:pPr>
              <w:rPr>
                <w:rFonts w:eastAsia="Times New Roman"/>
                <w:szCs w:val="20"/>
              </w:rPr>
            </w:pPr>
            <w:r w:rsidRPr="00F05958">
              <w:rPr>
                <w:rFonts w:eastAsia="Times New Roman"/>
                <w:szCs w:val="20"/>
              </w:rPr>
              <w:t>Ministry of Environment</w:t>
            </w:r>
          </w:p>
        </w:tc>
      </w:tr>
      <w:tr w:rsidR="00BB492E" w:rsidRPr="00F05958" w14:paraId="529723CB" w14:textId="77777777" w:rsidTr="006E25D0">
        <w:trPr>
          <w:trHeight w:val="300"/>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14:paraId="6D3E6E71" w14:textId="77777777" w:rsidR="00BB492E" w:rsidRPr="00F05958" w:rsidRDefault="00BB492E" w:rsidP="006E25D0">
            <w:pPr>
              <w:jc w:val="both"/>
              <w:rPr>
                <w:rFonts w:eastAsia="Times New Roman"/>
                <w:szCs w:val="20"/>
              </w:rPr>
            </w:pPr>
            <w:r w:rsidRPr="00F05958">
              <w:rPr>
                <w:rFonts w:eastAsia="Times New Roman"/>
                <w:szCs w:val="20"/>
              </w:rPr>
              <w:t>Ms. Neeza Imad</w:t>
            </w:r>
          </w:p>
        </w:tc>
        <w:tc>
          <w:tcPr>
            <w:tcW w:w="5130" w:type="dxa"/>
            <w:tcBorders>
              <w:top w:val="nil"/>
              <w:left w:val="nil"/>
              <w:bottom w:val="single" w:sz="4" w:space="0" w:color="auto"/>
              <w:right w:val="single" w:sz="4" w:space="0" w:color="auto"/>
            </w:tcBorders>
            <w:shd w:val="clear" w:color="auto" w:fill="auto"/>
            <w:noWrap/>
            <w:vAlign w:val="bottom"/>
            <w:hideMark/>
          </w:tcPr>
          <w:p w14:paraId="0F1FD0BA" w14:textId="77777777" w:rsidR="00BB492E" w:rsidRPr="00F05958" w:rsidRDefault="00BB492E" w:rsidP="006E25D0">
            <w:pPr>
              <w:rPr>
                <w:rFonts w:eastAsia="Times New Roman"/>
                <w:szCs w:val="20"/>
              </w:rPr>
            </w:pPr>
            <w:r w:rsidRPr="00F05958">
              <w:rPr>
                <w:rFonts w:eastAsia="Times New Roman"/>
                <w:szCs w:val="20"/>
              </w:rPr>
              <w:t>Ministry of Economic Development</w:t>
            </w:r>
          </w:p>
        </w:tc>
      </w:tr>
      <w:tr w:rsidR="00BB492E" w:rsidRPr="00F05958" w14:paraId="1A616CDD" w14:textId="77777777" w:rsidTr="006E25D0">
        <w:trPr>
          <w:trHeight w:val="360"/>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14:paraId="0B4513BE" w14:textId="77777777" w:rsidR="00BB492E" w:rsidRPr="00F05958" w:rsidRDefault="00BB492E" w:rsidP="006E25D0">
            <w:pPr>
              <w:jc w:val="both"/>
              <w:rPr>
                <w:rFonts w:eastAsia="Times New Roman"/>
                <w:szCs w:val="20"/>
              </w:rPr>
            </w:pPr>
            <w:r w:rsidRPr="00F05958">
              <w:rPr>
                <w:rFonts w:eastAsia="Times New Roman"/>
                <w:szCs w:val="20"/>
              </w:rPr>
              <w:t>Ms. Fathimath Niuma</w:t>
            </w:r>
          </w:p>
        </w:tc>
        <w:tc>
          <w:tcPr>
            <w:tcW w:w="5130" w:type="dxa"/>
            <w:tcBorders>
              <w:top w:val="nil"/>
              <w:left w:val="nil"/>
              <w:bottom w:val="single" w:sz="4" w:space="0" w:color="auto"/>
              <w:right w:val="single" w:sz="4" w:space="0" w:color="auto"/>
            </w:tcBorders>
            <w:shd w:val="clear" w:color="auto" w:fill="auto"/>
            <w:noWrap/>
            <w:vAlign w:val="center"/>
            <w:hideMark/>
          </w:tcPr>
          <w:p w14:paraId="74131033" w14:textId="77777777" w:rsidR="00BB492E" w:rsidRPr="00F05958" w:rsidRDefault="00BB492E" w:rsidP="006E25D0">
            <w:pPr>
              <w:rPr>
                <w:rFonts w:eastAsia="Times New Roman"/>
                <w:szCs w:val="20"/>
              </w:rPr>
            </w:pPr>
            <w:r w:rsidRPr="00F05958">
              <w:rPr>
                <w:rFonts w:eastAsia="Times New Roman"/>
                <w:szCs w:val="20"/>
              </w:rPr>
              <w:t>Ministry of National Planning and Infrastructure</w:t>
            </w:r>
          </w:p>
        </w:tc>
      </w:tr>
      <w:tr w:rsidR="00BB492E" w:rsidRPr="00F05958" w14:paraId="79A789BD" w14:textId="77777777" w:rsidTr="006E25D0">
        <w:trPr>
          <w:trHeight w:val="300"/>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14:paraId="269A2956" w14:textId="77777777" w:rsidR="00BB492E" w:rsidRPr="00F05958" w:rsidRDefault="00BB492E" w:rsidP="006E25D0">
            <w:pPr>
              <w:jc w:val="both"/>
              <w:rPr>
                <w:rFonts w:eastAsia="Times New Roman"/>
                <w:szCs w:val="20"/>
              </w:rPr>
            </w:pPr>
            <w:r w:rsidRPr="00F05958">
              <w:rPr>
                <w:rFonts w:eastAsia="Times New Roman"/>
                <w:szCs w:val="20"/>
              </w:rPr>
              <w:t>Ms. Aishath Shahuda</w:t>
            </w:r>
          </w:p>
        </w:tc>
        <w:tc>
          <w:tcPr>
            <w:tcW w:w="5130" w:type="dxa"/>
            <w:tcBorders>
              <w:top w:val="nil"/>
              <w:left w:val="nil"/>
              <w:bottom w:val="single" w:sz="4" w:space="0" w:color="auto"/>
              <w:right w:val="single" w:sz="4" w:space="0" w:color="auto"/>
            </w:tcBorders>
            <w:shd w:val="clear" w:color="auto" w:fill="auto"/>
            <w:noWrap/>
            <w:vAlign w:val="bottom"/>
            <w:hideMark/>
          </w:tcPr>
          <w:p w14:paraId="033093EC" w14:textId="77777777" w:rsidR="00BB492E" w:rsidRPr="00F05958" w:rsidRDefault="00BB492E" w:rsidP="006E25D0">
            <w:pPr>
              <w:rPr>
                <w:rFonts w:eastAsia="Times New Roman"/>
                <w:szCs w:val="20"/>
              </w:rPr>
            </w:pPr>
            <w:r w:rsidRPr="00F05958">
              <w:rPr>
                <w:rFonts w:eastAsia="Times New Roman"/>
                <w:szCs w:val="20"/>
              </w:rPr>
              <w:t>National Bureau of Statistics</w:t>
            </w:r>
          </w:p>
        </w:tc>
      </w:tr>
      <w:tr w:rsidR="00BB492E" w:rsidRPr="00F05958" w14:paraId="30156C45" w14:textId="77777777" w:rsidTr="006E25D0">
        <w:trPr>
          <w:trHeight w:val="300"/>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2B5C2308" w14:textId="77777777" w:rsidR="00BB492E" w:rsidRPr="00F05958" w:rsidRDefault="00BB492E" w:rsidP="006E25D0">
            <w:pPr>
              <w:rPr>
                <w:rFonts w:eastAsia="Times New Roman"/>
                <w:szCs w:val="20"/>
              </w:rPr>
            </w:pPr>
            <w:r w:rsidRPr="00F05958">
              <w:rPr>
                <w:rFonts w:eastAsia="Times New Roman"/>
                <w:szCs w:val="20"/>
              </w:rPr>
              <w:t>Ms. Akiko Fujii / Ms. Vera Hakim</w:t>
            </w:r>
          </w:p>
        </w:tc>
        <w:tc>
          <w:tcPr>
            <w:tcW w:w="5130" w:type="dxa"/>
            <w:tcBorders>
              <w:top w:val="nil"/>
              <w:left w:val="nil"/>
              <w:bottom w:val="single" w:sz="4" w:space="0" w:color="auto"/>
              <w:right w:val="single" w:sz="4" w:space="0" w:color="auto"/>
            </w:tcBorders>
            <w:shd w:val="clear" w:color="auto" w:fill="auto"/>
            <w:noWrap/>
            <w:vAlign w:val="bottom"/>
            <w:hideMark/>
          </w:tcPr>
          <w:p w14:paraId="08B8AEC5" w14:textId="77777777" w:rsidR="00BB492E" w:rsidRPr="00F05958" w:rsidRDefault="00BB492E" w:rsidP="006E25D0">
            <w:pPr>
              <w:rPr>
                <w:rFonts w:eastAsia="Times New Roman"/>
                <w:szCs w:val="20"/>
              </w:rPr>
            </w:pPr>
            <w:r w:rsidRPr="00F05958">
              <w:rPr>
                <w:rFonts w:eastAsia="Times New Roman"/>
                <w:szCs w:val="20"/>
              </w:rPr>
              <w:t>UNDP</w:t>
            </w:r>
          </w:p>
        </w:tc>
      </w:tr>
      <w:tr w:rsidR="00BB492E" w:rsidRPr="00F05958" w14:paraId="09AB8D8F" w14:textId="77777777" w:rsidTr="006E25D0">
        <w:trPr>
          <w:trHeight w:val="300"/>
        </w:trPr>
        <w:tc>
          <w:tcPr>
            <w:tcW w:w="9360" w:type="dxa"/>
            <w:gridSpan w:val="2"/>
            <w:tcBorders>
              <w:top w:val="nil"/>
              <w:left w:val="single" w:sz="4" w:space="0" w:color="auto"/>
              <w:bottom w:val="single" w:sz="4" w:space="0" w:color="auto"/>
              <w:right w:val="single" w:sz="4" w:space="0" w:color="auto"/>
            </w:tcBorders>
            <w:shd w:val="clear" w:color="auto" w:fill="C5E0B3" w:themeFill="accent6" w:themeFillTint="66"/>
            <w:noWrap/>
            <w:vAlign w:val="bottom"/>
          </w:tcPr>
          <w:p w14:paraId="40E76F74" w14:textId="77777777" w:rsidR="00BB492E" w:rsidRPr="00F05958" w:rsidRDefault="00BB492E" w:rsidP="006E25D0">
            <w:pPr>
              <w:rPr>
                <w:rFonts w:eastAsia="Times New Roman"/>
                <w:szCs w:val="20"/>
              </w:rPr>
            </w:pPr>
            <w:r w:rsidRPr="00F05958">
              <w:rPr>
                <w:rFonts w:eastAsia="Times New Roman"/>
                <w:szCs w:val="20"/>
              </w:rPr>
              <w:t>Technical team</w:t>
            </w:r>
          </w:p>
        </w:tc>
      </w:tr>
      <w:tr w:rsidR="00BB492E" w:rsidRPr="00F05958" w14:paraId="6C722AA6" w14:textId="77777777" w:rsidTr="006E25D0">
        <w:trPr>
          <w:trHeight w:val="300"/>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15626751" w14:textId="412B5081" w:rsidR="00BB492E" w:rsidRPr="00F05958" w:rsidRDefault="00BB492E" w:rsidP="006E25D0">
            <w:pPr>
              <w:rPr>
                <w:rFonts w:eastAsia="Times New Roman"/>
                <w:szCs w:val="20"/>
              </w:rPr>
            </w:pPr>
            <w:r w:rsidRPr="00F05958">
              <w:rPr>
                <w:rFonts w:eastAsia="Times New Roman"/>
                <w:szCs w:val="20"/>
              </w:rPr>
              <w:t>Ms. Manarath Muneer</w:t>
            </w:r>
            <w:r w:rsidR="009B5A52" w:rsidRPr="00F05958">
              <w:rPr>
                <w:rFonts w:eastAsia="Times New Roman"/>
                <w:szCs w:val="20"/>
              </w:rPr>
              <w:t xml:space="preserve"> </w:t>
            </w:r>
          </w:p>
        </w:tc>
        <w:tc>
          <w:tcPr>
            <w:tcW w:w="5130" w:type="dxa"/>
            <w:tcBorders>
              <w:top w:val="nil"/>
              <w:left w:val="nil"/>
              <w:bottom w:val="single" w:sz="4" w:space="0" w:color="auto"/>
              <w:right w:val="single" w:sz="4" w:space="0" w:color="auto"/>
            </w:tcBorders>
            <w:shd w:val="clear" w:color="auto" w:fill="auto"/>
            <w:noWrap/>
            <w:vAlign w:val="bottom"/>
            <w:hideMark/>
          </w:tcPr>
          <w:p w14:paraId="7B224306" w14:textId="77777777" w:rsidR="00BB492E" w:rsidRPr="00F05958" w:rsidRDefault="00BB492E" w:rsidP="006E25D0">
            <w:pPr>
              <w:rPr>
                <w:rFonts w:eastAsia="Times New Roman"/>
                <w:szCs w:val="20"/>
              </w:rPr>
            </w:pPr>
            <w:r w:rsidRPr="00F05958">
              <w:rPr>
                <w:rFonts w:eastAsia="Times New Roman"/>
                <w:szCs w:val="20"/>
              </w:rPr>
              <w:t>Ministry of Finance</w:t>
            </w:r>
          </w:p>
        </w:tc>
      </w:tr>
      <w:tr w:rsidR="00BB492E" w:rsidRPr="00F05958" w14:paraId="19E5F5A9" w14:textId="77777777" w:rsidTr="006E25D0">
        <w:trPr>
          <w:trHeight w:val="300"/>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72DB0AAD" w14:textId="77777777" w:rsidR="00BB492E" w:rsidRPr="00F05958" w:rsidRDefault="00BB492E" w:rsidP="006E25D0">
            <w:pPr>
              <w:rPr>
                <w:rFonts w:eastAsia="Times New Roman"/>
                <w:szCs w:val="20"/>
              </w:rPr>
            </w:pPr>
            <w:r w:rsidRPr="00F05958">
              <w:rPr>
                <w:rFonts w:eastAsia="Times New Roman"/>
                <w:szCs w:val="20"/>
              </w:rPr>
              <w:t>Ms. Mariyam Abdul Nasir</w:t>
            </w:r>
          </w:p>
        </w:tc>
        <w:tc>
          <w:tcPr>
            <w:tcW w:w="5130" w:type="dxa"/>
            <w:tcBorders>
              <w:top w:val="nil"/>
              <w:left w:val="nil"/>
              <w:bottom w:val="single" w:sz="4" w:space="0" w:color="auto"/>
              <w:right w:val="single" w:sz="4" w:space="0" w:color="auto"/>
            </w:tcBorders>
            <w:shd w:val="clear" w:color="auto" w:fill="auto"/>
            <w:noWrap/>
            <w:vAlign w:val="bottom"/>
            <w:hideMark/>
          </w:tcPr>
          <w:p w14:paraId="58359019" w14:textId="77777777" w:rsidR="00BB492E" w:rsidRPr="00F05958" w:rsidRDefault="00BB492E" w:rsidP="006E25D0">
            <w:pPr>
              <w:rPr>
                <w:rFonts w:eastAsia="Times New Roman"/>
                <w:szCs w:val="20"/>
              </w:rPr>
            </w:pPr>
            <w:r w:rsidRPr="00F05958">
              <w:rPr>
                <w:rFonts w:eastAsia="Times New Roman"/>
                <w:szCs w:val="20"/>
              </w:rPr>
              <w:t>Ministry of Finance</w:t>
            </w:r>
          </w:p>
        </w:tc>
      </w:tr>
      <w:tr w:rsidR="00BB492E" w:rsidRPr="00F05958" w14:paraId="30D46AAE" w14:textId="77777777" w:rsidTr="006E25D0">
        <w:trPr>
          <w:trHeight w:val="300"/>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260E216C" w14:textId="77777777" w:rsidR="00BB492E" w:rsidRPr="00F05958" w:rsidRDefault="00BB492E" w:rsidP="006E25D0">
            <w:pPr>
              <w:rPr>
                <w:rFonts w:eastAsia="Times New Roman"/>
                <w:szCs w:val="20"/>
              </w:rPr>
            </w:pPr>
            <w:r w:rsidRPr="00F05958">
              <w:rPr>
                <w:rFonts w:eastAsia="Times New Roman"/>
                <w:szCs w:val="20"/>
              </w:rPr>
              <w:t>Ms. Aishath Saadh</w:t>
            </w:r>
          </w:p>
        </w:tc>
        <w:tc>
          <w:tcPr>
            <w:tcW w:w="5130" w:type="dxa"/>
            <w:tcBorders>
              <w:top w:val="nil"/>
              <w:left w:val="nil"/>
              <w:bottom w:val="single" w:sz="4" w:space="0" w:color="auto"/>
              <w:right w:val="single" w:sz="4" w:space="0" w:color="auto"/>
            </w:tcBorders>
            <w:shd w:val="clear" w:color="auto" w:fill="auto"/>
            <w:noWrap/>
            <w:vAlign w:val="bottom"/>
            <w:hideMark/>
          </w:tcPr>
          <w:p w14:paraId="0724FB96" w14:textId="77777777" w:rsidR="00BB492E" w:rsidRPr="00F05958" w:rsidRDefault="00BB492E" w:rsidP="006E25D0">
            <w:pPr>
              <w:rPr>
                <w:rFonts w:eastAsia="Times New Roman"/>
                <w:szCs w:val="20"/>
              </w:rPr>
            </w:pPr>
            <w:r w:rsidRPr="00F05958">
              <w:rPr>
                <w:rFonts w:eastAsia="Times New Roman"/>
                <w:szCs w:val="20"/>
              </w:rPr>
              <w:t>Ministry of National Planning and Infrastructure</w:t>
            </w:r>
          </w:p>
        </w:tc>
      </w:tr>
      <w:tr w:rsidR="00BB492E" w:rsidRPr="00F05958" w14:paraId="4EEA218D" w14:textId="77777777" w:rsidTr="006E25D0">
        <w:trPr>
          <w:trHeight w:val="300"/>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600D7019" w14:textId="0B1FC53C" w:rsidR="00BB492E" w:rsidRPr="00F05958" w:rsidRDefault="00BB492E" w:rsidP="006E25D0">
            <w:pPr>
              <w:rPr>
                <w:rFonts w:eastAsia="Times New Roman"/>
                <w:szCs w:val="20"/>
              </w:rPr>
            </w:pPr>
            <w:r w:rsidRPr="00F05958">
              <w:rPr>
                <w:rFonts w:eastAsia="Times New Roman"/>
                <w:szCs w:val="20"/>
              </w:rPr>
              <w:t>Ms. Ashiyath Shazna</w:t>
            </w:r>
            <w:r w:rsidR="009B5A52" w:rsidRPr="00F05958">
              <w:rPr>
                <w:rFonts w:eastAsia="Times New Roman"/>
                <w:szCs w:val="20"/>
              </w:rPr>
              <w:t xml:space="preserve"> </w:t>
            </w:r>
          </w:p>
        </w:tc>
        <w:tc>
          <w:tcPr>
            <w:tcW w:w="5130" w:type="dxa"/>
            <w:tcBorders>
              <w:top w:val="nil"/>
              <w:left w:val="nil"/>
              <w:bottom w:val="single" w:sz="4" w:space="0" w:color="auto"/>
              <w:right w:val="single" w:sz="4" w:space="0" w:color="auto"/>
            </w:tcBorders>
            <w:shd w:val="clear" w:color="auto" w:fill="auto"/>
            <w:noWrap/>
            <w:vAlign w:val="bottom"/>
            <w:hideMark/>
          </w:tcPr>
          <w:p w14:paraId="7E925595" w14:textId="77777777" w:rsidR="00BB492E" w:rsidRPr="00F05958" w:rsidRDefault="00BB492E" w:rsidP="006E25D0">
            <w:pPr>
              <w:rPr>
                <w:rFonts w:eastAsia="Times New Roman"/>
                <w:szCs w:val="20"/>
              </w:rPr>
            </w:pPr>
            <w:r w:rsidRPr="00F05958">
              <w:rPr>
                <w:rFonts w:eastAsia="Times New Roman"/>
                <w:szCs w:val="20"/>
              </w:rPr>
              <w:t>National Bureau of Statistics</w:t>
            </w:r>
          </w:p>
        </w:tc>
      </w:tr>
      <w:tr w:rsidR="00BB492E" w:rsidRPr="00F05958" w14:paraId="530D629F" w14:textId="77777777" w:rsidTr="006E25D0">
        <w:trPr>
          <w:trHeight w:val="300"/>
        </w:trPr>
        <w:tc>
          <w:tcPr>
            <w:tcW w:w="4230" w:type="dxa"/>
            <w:tcBorders>
              <w:top w:val="nil"/>
              <w:left w:val="single" w:sz="4" w:space="0" w:color="auto"/>
              <w:bottom w:val="single" w:sz="4" w:space="0" w:color="auto"/>
              <w:right w:val="single" w:sz="4" w:space="0" w:color="auto"/>
            </w:tcBorders>
            <w:shd w:val="clear" w:color="auto" w:fill="auto"/>
            <w:noWrap/>
            <w:vAlign w:val="bottom"/>
          </w:tcPr>
          <w:p w14:paraId="0715F1C6" w14:textId="77777777" w:rsidR="00BB492E" w:rsidRPr="00F05958" w:rsidRDefault="00BB492E" w:rsidP="006E25D0">
            <w:pPr>
              <w:rPr>
                <w:rFonts w:eastAsia="Times New Roman"/>
                <w:szCs w:val="20"/>
              </w:rPr>
            </w:pPr>
            <w:r w:rsidRPr="00F05958">
              <w:rPr>
                <w:rFonts w:eastAsia="Times New Roman"/>
                <w:szCs w:val="20"/>
              </w:rPr>
              <w:t>Ms. Aileen Niyaz</w:t>
            </w:r>
          </w:p>
        </w:tc>
        <w:tc>
          <w:tcPr>
            <w:tcW w:w="5130" w:type="dxa"/>
            <w:tcBorders>
              <w:top w:val="nil"/>
              <w:left w:val="nil"/>
              <w:bottom w:val="single" w:sz="4" w:space="0" w:color="auto"/>
              <w:right w:val="single" w:sz="4" w:space="0" w:color="auto"/>
            </w:tcBorders>
            <w:shd w:val="clear" w:color="auto" w:fill="auto"/>
            <w:noWrap/>
            <w:vAlign w:val="bottom"/>
          </w:tcPr>
          <w:p w14:paraId="6FE8DA58" w14:textId="77777777" w:rsidR="00BB492E" w:rsidRPr="00F05958" w:rsidRDefault="00BB492E" w:rsidP="006E25D0">
            <w:pPr>
              <w:rPr>
                <w:rFonts w:eastAsia="Times New Roman"/>
                <w:szCs w:val="20"/>
              </w:rPr>
            </w:pPr>
            <w:r w:rsidRPr="00F05958">
              <w:rPr>
                <w:rFonts w:eastAsia="Times New Roman"/>
                <w:szCs w:val="20"/>
              </w:rPr>
              <w:t xml:space="preserve">Ministry of Environment </w:t>
            </w:r>
          </w:p>
        </w:tc>
      </w:tr>
      <w:tr w:rsidR="00BB492E" w:rsidRPr="00F05958" w14:paraId="6676D191" w14:textId="77777777" w:rsidTr="006E25D0">
        <w:trPr>
          <w:trHeight w:val="300"/>
        </w:trPr>
        <w:tc>
          <w:tcPr>
            <w:tcW w:w="4230" w:type="dxa"/>
            <w:tcBorders>
              <w:top w:val="nil"/>
              <w:left w:val="single" w:sz="4" w:space="0" w:color="auto"/>
              <w:bottom w:val="single" w:sz="4" w:space="0" w:color="auto"/>
              <w:right w:val="single" w:sz="4" w:space="0" w:color="auto"/>
            </w:tcBorders>
            <w:shd w:val="clear" w:color="auto" w:fill="auto"/>
            <w:noWrap/>
            <w:vAlign w:val="bottom"/>
          </w:tcPr>
          <w:p w14:paraId="438D42F5" w14:textId="5F526A83" w:rsidR="00BB492E" w:rsidRPr="00F05958" w:rsidRDefault="00BB492E" w:rsidP="006E25D0">
            <w:pPr>
              <w:rPr>
                <w:rFonts w:eastAsia="Times New Roman"/>
                <w:szCs w:val="20"/>
              </w:rPr>
            </w:pPr>
            <w:r w:rsidRPr="00F05958">
              <w:rPr>
                <w:rFonts w:eastAsia="Times New Roman"/>
                <w:szCs w:val="20"/>
              </w:rPr>
              <w:t xml:space="preserve">Ms. </w:t>
            </w:r>
            <w:r w:rsidR="00CF5924" w:rsidRPr="00F05958">
              <w:rPr>
                <w:rFonts w:eastAsia="Times New Roman"/>
                <w:szCs w:val="20"/>
              </w:rPr>
              <w:t xml:space="preserve">Aishath </w:t>
            </w:r>
            <w:r w:rsidRPr="00F05958">
              <w:rPr>
                <w:rFonts w:eastAsia="Times New Roman"/>
                <w:szCs w:val="20"/>
              </w:rPr>
              <w:t>Shahula</w:t>
            </w:r>
          </w:p>
        </w:tc>
        <w:tc>
          <w:tcPr>
            <w:tcW w:w="5130" w:type="dxa"/>
            <w:tcBorders>
              <w:top w:val="nil"/>
              <w:left w:val="nil"/>
              <w:bottom w:val="single" w:sz="4" w:space="0" w:color="auto"/>
              <w:right w:val="single" w:sz="4" w:space="0" w:color="auto"/>
            </w:tcBorders>
            <w:shd w:val="clear" w:color="auto" w:fill="auto"/>
            <w:noWrap/>
            <w:vAlign w:val="bottom"/>
          </w:tcPr>
          <w:p w14:paraId="1D4E78A3" w14:textId="77777777" w:rsidR="00BB492E" w:rsidRPr="00F05958" w:rsidRDefault="00BB492E" w:rsidP="006E25D0">
            <w:pPr>
              <w:rPr>
                <w:rFonts w:eastAsia="Times New Roman"/>
                <w:szCs w:val="20"/>
              </w:rPr>
            </w:pPr>
            <w:r w:rsidRPr="00F05958">
              <w:rPr>
                <w:rFonts w:eastAsia="Times New Roman"/>
                <w:szCs w:val="20"/>
              </w:rPr>
              <w:t xml:space="preserve">Ministry of Foreign Affairs </w:t>
            </w:r>
          </w:p>
        </w:tc>
      </w:tr>
    </w:tbl>
    <w:p w14:paraId="69335BD2" w14:textId="77777777" w:rsidR="00BB492E" w:rsidRPr="00CD3D9C" w:rsidRDefault="00BB492E" w:rsidP="006C4182">
      <w:pPr>
        <w:rPr>
          <w:szCs w:val="20"/>
        </w:rPr>
      </w:pPr>
    </w:p>
    <w:p w14:paraId="42C439FF" w14:textId="74C45BD6" w:rsidR="001F18D4" w:rsidRPr="00CD3D9C" w:rsidRDefault="001F18D4" w:rsidP="006C096C">
      <w:pPr>
        <w:jc w:val="both"/>
        <w:rPr>
          <w:szCs w:val="20"/>
        </w:rPr>
      </w:pPr>
      <w:r w:rsidRPr="004E3142">
        <w:t>The</w:t>
      </w:r>
      <w:r w:rsidRPr="004E3142">
        <w:rPr>
          <w:szCs w:val="20"/>
        </w:rPr>
        <w:t xml:space="preserve"> </w:t>
      </w:r>
      <w:r w:rsidR="004E3142" w:rsidRPr="004E3142">
        <w:rPr>
          <w:szCs w:val="20"/>
        </w:rPr>
        <w:t>full</w:t>
      </w:r>
      <w:r w:rsidR="004E3142">
        <w:rPr>
          <w:szCs w:val="20"/>
        </w:rPr>
        <w:t>-</w:t>
      </w:r>
      <w:r w:rsidR="004E3142" w:rsidRPr="004E3142">
        <w:rPr>
          <w:szCs w:val="20"/>
        </w:rPr>
        <w:t>fledged</w:t>
      </w:r>
      <w:r w:rsidR="00B02585" w:rsidRPr="004E3142">
        <w:t xml:space="preserve"> </w:t>
      </w:r>
      <w:r w:rsidRPr="004E3142">
        <w:t xml:space="preserve">INFF Oversight Committee is expected to act as the steering committee for the JP. </w:t>
      </w:r>
      <w:r w:rsidR="004E3142" w:rsidRPr="004E3142">
        <w:rPr>
          <w:szCs w:val="20"/>
        </w:rPr>
        <w:t>I</w:t>
      </w:r>
      <w:r w:rsidRPr="004E3142">
        <w:t>t will provide overall strategic direction, oversight and quality assurance and decision making on the direction of JP activities.</w:t>
      </w:r>
      <w:r w:rsidRPr="00CD3D9C">
        <w:rPr>
          <w:szCs w:val="20"/>
        </w:rPr>
        <w:t xml:space="preserve"> It is responsible for the overseeing the design, implementation and monitoring of the INFF in the Maldives. More specifically, the INFF Oversight Committee will be involved in the following tasks with respect to the JP:</w:t>
      </w:r>
    </w:p>
    <w:p w14:paraId="7CF1B630" w14:textId="5354BB1F" w:rsidR="001F18D4" w:rsidRPr="00CD3D9C" w:rsidRDefault="001F18D4" w:rsidP="001F18D4">
      <w:pPr>
        <w:pStyle w:val="ListParagraph"/>
        <w:numPr>
          <w:ilvl w:val="0"/>
          <w:numId w:val="41"/>
        </w:numPr>
        <w:jc w:val="both"/>
        <w:rPr>
          <w:szCs w:val="20"/>
        </w:rPr>
      </w:pPr>
      <w:r w:rsidRPr="00CD3D9C">
        <w:rPr>
          <w:szCs w:val="20"/>
        </w:rPr>
        <w:lastRenderedPageBreak/>
        <w:t>Determine the scope and level of depth/coverage of the proposed costing exercises and diagnostics required to develop the integrated financing strategy</w:t>
      </w:r>
      <w:r w:rsidR="00195769">
        <w:rPr>
          <w:szCs w:val="20"/>
        </w:rPr>
        <w:t>,</w:t>
      </w:r>
      <w:r w:rsidRPr="00CD3D9C">
        <w:rPr>
          <w:szCs w:val="20"/>
        </w:rPr>
        <w:t xml:space="preserve"> based on the committee’s review of the outcomes of the ongoing DFA and the SDG partnership landscape assessment (JP Output 1.1 and 1.2)</w:t>
      </w:r>
    </w:p>
    <w:p w14:paraId="5FE7455F" w14:textId="77777777" w:rsidR="001F18D4" w:rsidRPr="00CD3D9C" w:rsidRDefault="001F18D4" w:rsidP="001F18D4">
      <w:pPr>
        <w:pStyle w:val="ListParagraph"/>
        <w:numPr>
          <w:ilvl w:val="0"/>
          <w:numId w:val="41"/>
        </w:numPr>
        <w:jc w:val="both"/>
        <w:rPr>
          <w:szCs w:val="20"/>
        </w:rPr>
      </w:pPr>
      <w:r w:rsidRPr="00CD3D9C">
        <w:rPr>
          <w:szCs w:val="20"/>
        </w:rPr>
        <w:t xml:space="preserve">Determine the priority areas for the design of the </w:t>
      </w:r>
      <w:r w:rsidRPr="00CD3D9C">
        <w:rPr>
          <w:color w:val="000000" w:themeColor="text1"/>
          <w:szCs w:val="20"/>
        </w:rPr>
        <w:t xml:space="preserve">National Integrated Financing Strategy </w:t>
      </w:r>
      <w:r w:rsidRPr="00CD3D9C">
        <w:rPr>
          <w:szCs w:val="20"/>
        </w:rPr>
        <w:t>and approve the final document (JP Output 2.1).</w:t>
      </w:r>
    </w:p>
    <w:p w14:paraId="465D4A1E" w14:textId="264815A2" w:rsidR="001F18D4" w:rsidRPr="00CD3D9C" w:rsidRDefault="001F18D4" w:rsidP="001F18D4">
      <w:pPr>
        <w:pStyle w:val="ListParagraph"/>
        <w:numPr>
          <w:ilvl w:val="0"/>
          <w:numId w:val="41"/>
        </w:numPr>
        <w:jc w:val="both"/>
        <w:rPr>
          <w:szCs w:val="20"/>
        </w:rPr>
      </w:pPr>
      <w:r w:rsidRPr="00CD3D9C">
        <w:rPr>
          <w:szCs w:val="20"/>
        </w:rPr>
        <w:t xml:space="preserve">Oversee the roll out and implementation of </w:t>
      </w:r>
      <w:r w:rsidR="009B2458">
        <w:rPr>
          <w:szCs w:val="20"/>
        </w:rPr>
        <w:t xml:space="preserve">a gender responsive </w:t>
      </w:r>
      <w:r w:rsidRPr="00CD3D9C">
        <w:rPr>
          <w:color w:val="000000" w:themeColor="text1"/>
          <w:szCs w:val="20"/>
        </w:rPr>
        <w:t>National Integrated Financing Strategy</w:t>
      </w:r>
      <w:r w:rsidRPr="00CD3D9C">
        <w:rPr>
          <w:szCs w:val="20"/>
        </w:rPr>
        <w:t xml:space="preserve"> (JP Output 2.2).</w:t>
      </w:r>
    </w:p>
    <w:p w14:paraId="5F176B6F" w14:textId="77777777" w:rsidR="000671F4" w:rsidRPr="00CD3D9C" w:rsidRDefault="000671F4" w:rsidP="000671F4">
      <w:pPr>
        <w:pStyle w:val="ListParagraph"/>
        <w:numPr>
          <w:ilvl w:val="0"/>
          <w:numId w:val="41"/>
        </w:numPr>
        <w:jc w:val="both"/>
        <w:rPr>
          <w:szCs w:val="20"/>
        </w:rPr>
      </w:pPr>
      <w:r w:rsidRPr="00CD3D9C">
        <w:rPr>
          <w:szCs w:val="20"/>
        </w:rPr>
        <w:t>Identify and approve the final composition</w:t>
      </w:r>
      <w:r>
        <w:rPr>
          <w:szCs w:val="20"/>
        </w:rPr>
        <w:t>, functions</w:t>
      </w:r>
      <w:r w:rsidRPr="00CD3D9C">
        <w:rPr>
          <w:szCs w:val="20"/>
        </w:rPr>
        <w:t xml:space="preserve"> </w:t>
      </w:r>
      <w:r>
        <w:rPr>
          <w:szCs w:val="20"/>
        </w:rPr>
        <w:t xml:space="preserve">and working arrangements </w:t>
      </w:r>
      <w:r w:rsidRPr="00CD3D9C">
        <w:rPr>
          <w:szCs w:val="20"/>
        </w:rPr>
        <w:t xml:space="preserve">of the INFF oversight committee </w:t>
      </w:r>
      <w:r>
        <w:rPr>
          <w:szCs w:val="20"/>
        </w:rPr>
        <w:t xml:space="preserve">defined in a ToR </w:t>
      </w:r>
      <w:r w:rsidRPr="00CD3D9C">
        <w:rPr>
          <w:szCs w:val="20"/>
        </w:rPr>
        <w:t>(JP Output 3.1)</w:t>
      </w:r>
    </w:p>
    <w:p w14:paraId="58CBD1CE" w14:textId="77777777" w:rsidR="001F18D4" w:rsidRPr="00CD3D9C" w:rsidRDefault="001F18D4" w:rsidP="001F18D4">
      <w:pPr>
        <w:pStyle w:val="ListParagraph"/>
        <w:numPr>
          <w:ilvl w:val="0"/>
          <w:numId w:val="41"/>
        </w:numPr>
        <w:jc w:val="both"/>
        <w:rPr>
          <w:szCs w:val="20"/>
        </w:rPr>
      </w:pPr>
      <w:r w:rsidRPr="00CD3D9C">
        <w:rPr>
          <w:szCs w:val="20"/>
        </w:rPr>
        <w:t xml:space="preserve">Undertake the monitoring of financing flows and tracking progress of the financing indicators as articulated in the </w:t>
      </w:r>
      <w:r w:rsidRPr="00CD3D9C">
        <w:rPr>
          <w:color w:val="000000" w:themeColor="text1"/>
          <w:szCs w:val="20"/>
        </w:rPr>
        <w:t xml:space="preserve">National Integrated Financing Strategy </w:t>
      </w:r>
      <w:r w:rsidRPr="00CD3D9C">
        <w:rPr>
          <w:szCs w:val="20"/>
        </w:rPr>
        <w:t>and any other financing policies (JP Output 3.1)</w:t>
      </w:r>
    </w:p>
    <w:p w14:paraId="1E3CAE72" w14:textId="77777777" w:rsidR="001F18D4" w:rsidRPr="00CD3D9C" w:rsidRDefault="001F18D4" w:rsidP="001F18D4">
      <w:pPr>
        <w:pStyle w:val="ListParagraph"/>
        <w:numPr>
          <w:ilvl w:val="0"/>
          <w:numId w:val="41"/>
        </w:numPr>
        <w:jc w:val="both"/>
        <w:rPr>
          <w:szCs w:val="20"/>
        </w:rPr>
      </w:pPr>
      <w:r w:rsidRPr="00CD3D9C">
        <w:rPr>
          <w:szCs w:val="20"/>
        </w:rPr>
        <w:t>Directly support the implementation of the JP activities engaging the private sector (JP Output 3.2).</w:t>
      </w:r>
    </w:p>
    <w:p w14:paraId="18FD0064" w14:textId="77777777" w:rsidR="001F18D4" w:rsidRPr="00CD3D9C" w:rsidRDefault="001F18D4" w:rsidP="001F18D4">
      <w:pPr>
        <w:pStyle w:val="ListParagraph"/>
        <w:numPr>
          <w:ilvl w:val="0"/>
          <w:numId w:val="41"/>
        </w:numPr>
        <w:jc w:val="both"/>
        <w:rPr>
          <w:szCs w:val="20"/>
        </w:rPr>
      </w:pPr>
      <w:r w:rsidRPr="00CD3D9C">
        <w:rPr>
          <w:szCs w:val="20"/>
        </w:rPr>
        <w:t>Oversee the implementation of the INFF, as well as the monitoring and evaluation thereof.</w:t>
      </w:r>
    </w:p>
    <w:p w14:paraId="3D04BFEA" w14:textId="47F8066B" w:rsidR="001F18D4" w:rsidRDefault="001F18D4" w:rsidP="001F18D4">
      <w:pPr>
        <w:pStyle w:val="ListParagraph"/>
        <w:numPr>
          <w:ilvl w:val="0"/>
          <w:numId w:val="41"/>
        </w:numPr>
        <w:jc w:val="both"/>
        <w:rPr>
          <w:szCs w:val="20"/>
        </w:rPr>
      </w:pPr>
      <w:r w:rsidRPr="00CD3D9C">
        <w:rPr>
          <w:szCs w:val="20"/>
        </w:rPr>
        <w:t>Review and approve JP annual work plan and review annual progress reports and evaluation reports.</w:t>
      </w:r>
    </w:p>
    <w:p w14:paraId="5FE441DF" w14:textId="77777777" w:rsidR="00297532" w:rsidRDefault="00297532" w:rsidP="008E07E5">
      <w:pPr>
        <w:jc w:val="both"/>
        <w:rPr>
          <w:color w:val="FF0000"/>
          <w:szCs w:val="20"/>
        </w:rPr>
      </w:pPr>
    </w:p>
    <w:p w14:paraId="111B223F" w14:textId="7685F6FB" w:rsidR="008E07E5" w:rsidRPr="000A789D" w:rsidRDefault="00297532" w:rsidP="008E07E5">
      <w:pPr>
        <w:jc w:val="both"/>
        <w:rPr>
          <w:szCs w:val="20"/>
        </w:rPr>
      </w:pPr>
      <w:r w:rsidRPr="000A789D">
        <w:rPr>
          <w:szCs w:val="20"/>
        </w:rPr>
        <w:t>During the JP implementation, the working group involved at the drafting of the JP will continue to provide technical and operational guidance. There will be two set up for the working group. One internal working group consisting all PUNO and RCO, led by UNDP. Second working group will consist members from all PUNO’s and key line ministries</w:t>
      </w:r>
      <w:r w:rsidR="00231CDD" w:rsidRPr="000A789D">
        <w:rPr>
          <w:szCs w:val="20"/>
        </w:rPr>
        <w:t xml:space="preserve"> chaired by</w:t>
      </w:r>
      <w:r w:rsidRPr="000A789D">
        <w:rPr>
          <w:szCs w:val="20"/>
        </w:rPr>
        <w:t xml:space="preserve"> UNDP and Ministry of Finance will co-chair.</w:t>
      </w:r>
    </w:p>
    <w:p w14:paraId="43323919" w14:textId="77777777" w:rsidR="001F18D4" w:rsidRPr="00CD3D9C" w:rsidRDefault="001F18D4" w:rsidP="006C4182">
      <w:pPr>
        <w:rPr>
          <w:szCs w:val="20"/>
        </w:rPr>
      </w:pPr>
    </w:p>
    <w:p w14:paraId="283EAE93" w14:textId="370A0BC0" w:rsidR="006A259A" w:rsidRDefault="007019E1" w:rsidP="006C4182">
      <w:pPr>
        <w:rPr>
          <w:szCs w:val="20"/>
        </w:rPr>
      </w:pPr>
      <w:r w:rsidRPr="00357710">
        <w:rPr>
          <w:szCs w:val="20"/>
        </w:rPr>
        <w:t xml:space="preserve">The </w:t>
      </w:r>
      <w:r w:rsidR="00461B34" w:rsidRPr="00357710">
        <w:rPr>
          <w:szCs w:val="20"/>
        </w:rPr>
        <w:t>UN Resident Coordinator (</w:t>
      </w:r>
      <w:r w:rsidRPr="00357710">
        <w:rPr>
          <w:szCs w:val="20"/>
        </w:rPr>
        <w:t>RC</w:t>
      </w:r>
      <w:r w:rsidR="00461B34" w:rsidRPr="00357710">
        <w:rPr>
          <w:szCs w:val="20"/>
        </w:rPr>
        <w:t>)</w:t>
      </w:r>
      <w:r w:rsidRPr="00357710">
        <w:rPr>
          <w:szCs w:val="20"/>
        </w:rPr>
        <w:t xml:space="preserve"> </w:t>
      </w:r>
      <w:r w:rsidR="00461B34" w:rsidRPr="00357710">
        <w:rPr>
          <w:szCs w:val="20"/>
        </w:rPr>
        <w:t>is</w:t>
      </w:r>
      <w:r w:rsidRPr="00357710">
        <w:rPr>
          <w:szCs w:val="20"/>
        </w:rPr>
        <w:t xml:space="preserve"> responsible to monitor the implementation of this JP, will work in close collaboration with the UNCT to achieve the </w:t>
      </w:r>
      <w:r w:rsidR="006C4182" w:rsidRPr="00357710">
        <w:rPr>
          <w:szCs w:val="20"/>
        </w:rPr>
        <w:t xml:space="preserve">JP </w:t>
      </w:r>
      <w:r w:rsidRPr="00357710">
        <w:rPr>
          <w:szCs w:val="20"/>
        </w:rPr>
        <w:t xml:space="preserve">outcomes outlined. On a quarterly basis, the JP progress update will be tabled and discussed during the UNCT meeting. The RC will play a central role in terms of political and policy advocacy/dialogue, ensuring that the UN conveys a harmonized message at all policy levels with the Government and other Authorities. </w:t>
      </w:r>
      <w:r w:rsidR="00442736" w:rsidRPr="00442736">
        <w:rPr>
          <w:szCs w:val="20"/>
        </w:rPr>
        <w:t xml:space="preserve">To ensure RC is enabled with proper mechanism to provide guidance, the RC </w:t>
      </w:r>
      <w:r w:rsidR="00442736">
        <w:rPr>
          <w:szCs w:val="20"/>
        </w:rPr>
        <w:t xml:space="preserve">will </w:t>
      </w:r>
      <w:r w:rsidR="00442736" w:rsidRPr="00442736">
        <w:rPr>
          <w:szCs w:val="20"/>
        </w:rPr>
        <w:t>be the UN representative of t</w:t>
      </w:r>
      <w:r w:rsidR="00442736">
        <w:rPr>
          <w:szCs w:val="20"/>
        </w:rPr>
        <w:t>h</w:t>
      </w:r>
      <w:r w:rsidR="00442736" w:rsidRPr="00442736">
        <w:rPr>
          <w:szCs w:val="20"/>
        </w:rPr>
        <w:t>e</w:t>
      </w:r>
      <w:r w:rsidR="00D31076">
        <w:rPr>
          <w:szCs w:val="20"/>
        </w:rPr>
        <w:t xml:space="preserve"> </w:t>
      </w:r>
      <w:r w:rsidR="00D31076" w:rsidRPr="00635038">
        <w:rPr>
          <w:szCs w:val="20"/>
        </w:rPr>
        <w:t>full-fledged</w:t>
      </w:r>
      <w:r w:rsidR="00442736" w:rsidRPr="00635038">
        <w:rPr>
          <w:szCs w:val="20"/>
        </w:rPr>
        <w:t xml:space="preserve"> </w:t>
      </w:r>
      <w:r w:rsidR="00442736" w:rsidRPr="00442736">
        <w:rPr>
          <w:szCs w:val="20"/>
        </w:rPr>
        <w:t xml:space="preserve">INFF Oversight Committee. This committee will meet when required but a minimum two meetings will be held annually. The RC will ensure effective coordination with the World Bank and other key development partners (such as USAID) on PFM reforms in the country to further coordinate technical assistance and policy support. </w:t>
      </w:r>
    </w:p>
    <w:p w14:paraId="08D82DC0" w14:textId="77777777" w:rsidR="00973628" w:rsidRPr="00CD3D9C" w:rsidRDefault="00973628" w:rsidP="006C4182">
      <w:pPr>
        <w:rPr>
          <w:szCs w:val="20"/>
        </w:rPr>
      </w:pPr>
    </w:p>
    <w:p w14:paraId="7A25DB16" w14:textId="3C2F24E5" w:rsidR="007019E1" w:rsidRPr="00CD3D9C" w:rsidRDefault="006A259A" w:rsidP="006A259A">
      <w:pPr>
        <w:rPr>
          <w:szCs w:val="20"/>
        </w:rPr>
      </w:pPr>
      <w:r w:rsidRPr="00CD3D9C">
        <w:rPr>
          <w:szCs w:val="20"/>
        </w:rPr>
        <w:t xml:space="preserve">UNDP as the convening agency is responsible for operational and programmatic coordination. UNDP will coordinate with JP implementing </w:t>
      </w:r>
      <w:r w:rsidRPr="00357710">
        <w:rPr>
          <w:szCs w:val="20"/>
        </w:rPr>
        <w:t>partners</w:t>
      </w:r>
      <w:r w:rsidR="004D507B" w:rsidRPr="00357710">
        <w:rPr>
          <w:szCs w:val="20"/>
        </w:rPr>
        <w:t>;</w:t>
      </w:r>
      <w:r w:rsidRPr="00357710">
        <w:rPr>
          <w:szCs w:val="20"/>
        </w:rPr>
        <w:t xml:space="preserve"> compile annual work plans and narrative reports</w:t>
      </w:r>
      <w:r w:rsidR="004D507B" w:rsidRPr="00357710">
        <w:rPr>
          <w:szCs w:val="20"/>
        </w:rPr>
        <w:t>;</w:t>
      </w:r>
      <w:r w:rsidRPr="00357710">
        <w:rPr>
          <w:szCs w:val="20"/>
        </w:rPr>
        <w:t xml:space="preserve"> coordinate monitoring of annual targets, reports on INFF oversight meetings</w:t>
      </w:r>
      <w:r w:rsidR="004D507B" w:rsidRPr="00357710">
        <w:rPr>
          <w:szCs w:val="20"/>
        </w:rPr>
        <w:t>;</w:t>
      </w:r>
      <w:r w:rsidRPr="00357710">
        <w:rPr>
          <w:szCs w:val="20"/>
        </w:rPr>
        <w:t xml:space="preserve"> facilitate audits and evaluation</w:t>
      </w:r>
      <w:r w:rsidR="004D507B" w:rsidRPr="00357710">
        <w:rPr>
          <w:szCs w:val="20"/>
        </w:rPr>
        <w:t xml:space="preserve">s; </w:t>
      </w:r>
      <w:r w:rsidRPr="00357710">
        <w:rPr>
          <w:szCs w:val="20"/>
        </w:rPr>
        <w:t xml:space="preserve">and report back to the INFF oversight committee. </w:t>
      </w:r>
      <w:r w:rsidR="006C4182" w:rsidRPr="00357710">
        <w:rPr>
          <w:szCs w:val="20"/>
        </w:rPr>
        <w:t xml:space="preserve">The RCO </w:t>
      </w:r>
      <w:r w:rsidR="00A14D9F" w:rsidRPr="00357710">
        <w:rPr>
          <w:szCs w:val="20"/>
        </w:rPr>
        <w:t xml:space="preserve">with support from all PUNOs will be responsible for the </w:t>
      </w:r>
      <w:r w:rsidR="004D507B" w:rsidRPr="00357710">
        <w:rPr>
          <w:szCs w:val="20"/>
        </w:rPr>
        <w:t xml:space="preserve">monitoring </w:t>
      </w:r>
      <w:r w:rsidR="00A14D9F" w:rsidRPr="00357710">
        <w:rPr>
          <w:szCs w:val="20"/>
        </w:rPr>
        <w:t xml:space="preserve">and </w:t>
      </w:r>
      <w:r w:rsidR="004D507B" w:rsidRPr="00357710">
        <w:rPr>
          <w:szCs w:val="20"/>
        </w:rPr>
        <w:t xml:space="preserve">evaluation </w:t>
      </w:r>
      <w:r w:rsidR="00A14D9F" w:rsidRPr="00357710">
        <w:rPr>
          <w:szCs w:val="20"/>
        </w:rPr>
        <w:t xml:space="preserve">along with </w:t>
      </w:r>
      <w:r w:rsidR="004D507B" w:rsidRPr="00357710">
        <w:rPr>
          <w:szCs w:val="20"/>
        </w:rPr>
        <w:t>s</w:t>
      </w:r>
      <w:r w:rsidR="00A14D9F" w:rsidRPr="00357710">
        <w:rPr>
          <w:szCs w:val="20"/>
        </w:rPr>
        <w:t xml:space="preserve">trategic communication and advocacy (see JP outcome 4). </w:t>
      </w:r>
      <w:r w:rsidR="006C4182" w:rsidRPr="00357710">
        <w:rPr>
          <w:szCs w:val="20"/>
        </w:rPr>
        <w:t>The RCO will also facilitate the mid-term and final evaluation exercises of the JP as proposed under the JP outcome 4.</w:t>
      </w:r>
      <w:r w:rsidR="006C4182" w:rsidRPr="00CD3D9C">
        <w:rPr>
          <w:szCs w:val="20"/>
        </w:rPr>
        <w:t xml:space="preserve"> </w:t>
      </w:r>
    </w:p>
    <w:p w14:paraId="18FDD25E" w14:textId="77777777" w:rsidR="007019E1" w:rsidRPr="00CD3D9C" w:rsidRDefault="007019E1" w:rsidP="006C4182">
      <w:pPr>
        <w:rPr>
          <w:szCs w:val="20"/>
        </w:rPr>
      </w:pPr>
    </w:p>
    <w:p w14:paraId="2891B5A3" w14:textId="77777777" w:rsidR="00775A32" w:rsidRPr="00CD3D9C" w:rsidRDefault="00461B34" w:rsidP="00461B34">
      <w:pPr>
        <w:rPr>
          <w:szCs w:val="20"/>
        </w:rPr>
      </w:pPr>
      <w:r w:rsidRPr="00CD3D9C">
        <w:rPr>
          <w:szCs w:val="20"/>
        </w:rPr>
        <w:t xml:space="preserve">UNDP </w:t>
      </w:r>
      <w:r w:rsidR="006A259A" w:rsidRPr="00CD3D9C">
        <w:rPr>
          <w:szCs w:val="20"/>
        </w:rPr>
        <w:t>is also a PUNO together with</w:t>
      </w:r>
      <w:r w:rsidRPr="00CD3D9C">
        <w:rPr>
          <w:szCs w:val="20"/>
        </w:rPr>
        <w:t xml:space="preserve"> WHO, UNICEF and UNFPA. </w:t>
      </w:r>
      <w:r w:rsidR="006A259A" w:rsidRPr="00CD3D9C">
        <w:rPr>
          <w:szCs w:val="20"/>
        </w:rPr>
        <w:t xml:space="preserve">As PUNOs, the agencies are responsible for implementing the activities </w:t>
      </w:r>
      <w:r w:rsidR="00775A32" w:rsidRPr="00CD3D9C">
        <w:rPr>
          <w:szCs w:val="20"/>
        </w:rPr>
        <w:t>of the JP, providing inputs the annual work plan process and progress reporting. The PUNOs have full programmatic and financial accountability for funds disbursed.</w:t>
      </w:r>
    </w:p>
    <w:p w14:paraId="1514B54B" w14:textId="77777777" w:rsidR="00775A32" w:rsidRPr="00CD3D9C" w:rsidRDefault="00775A32" w:rsidP="00461B34">
      <w:pPr>
        <w:rPr>
          <w:szCs w:val="20"/>
        </w:rPr>
      </w:pPr>
    </w:p>
    <w:p w14:paraId="331E2E65" w14:textId="77777777" w:rsidR="00F05958" w:rsidRDefault="00461B34" w:rsidP="00461B34">
      <w:pPr>
        <w:rPr>
          <w:szCs w:val="20"/>
        </w:rPr>
      </w:pPr>
      <w:r w:rsidRPr="00CD3D9C">
        <w:rPr>
          <w:szCs w:val="20"/>
        </w:rPr>
        <w:lastRenderedPageBreak/>
        <w:t>Under JP outcome 1, UNDP will implement the overall costing exercises</w:t>
      </w:r>
      <w:r w:rsidR="004D507B">
        <w:rPr>
          <w:szCs w:val="20"/>
        </w:rPr>
        <w:t>,</w:t>
      </w:r>
      <w:r w:rsidRPr="00CD3D9C">
        <w:rPr>
          <w:szCs w:val="20"/>
        </w:rPr>
        <w:t xml:space="preserve"> including costing climate relevant sectors</w:t>
      </w:r>
      <w:r w:rsidR="004D507B">
        <w:rPr>
          <w:szCs w:val="20"/>
        </w:rPr>
        <w:t>,</w:t>
      </w:r>
      <w:r w:rsidRPr="00CD3D9C">
        <w:rPr>
          <w:szCs w:val="20"/>
        </w:rPr>
        <w:t xml:space="preserve"> under JP output 1.1</w:t>
      </w:r>
      <w:r w:rsidR="004D507B">
        <w:rPr>
          <w:szCs w:val="20"/>
        </w:rPr>
        <w:t xml:space="preserve">. </w:t>
      </w:r>
      <w:r w:rsidRPr="00CD3D9C">
        <w:rPr>
          <w:szCs w:val="20"/>
        </w:rPr>
        <w:t>UNICEF, UNFPA and WHO will implement the JP output 1.2 on social sector costing</w:t>
      </w:r>
      <w:r w:rsidR="004D507B">
        <w:rPr>
          <w:szCs w:val="20"/>
        </w:rPr>
        <w:t>,</w:t>
      </w:r>
      <w:r w:rsidRPr="00CD3D9C">
        <w:rPr>
          <w:szCs w:val="20"/>
        </w:rPr>
        <w:t xml:space="preserve"> complementing the ongoing PER of the social sector carried out by the World Bank and the Ministry of Finance. UNICEF will lead the overall social sector costing exercise while WHO will focus on health sector and </w:t>
      </w:r>
      <w:bookmarkStart w:id="35" w:name="_Hlk34917359"/>
      <w:r w:rsidRPr="00CD3D9C">
        <w:rPr>
          <w:szCs w:val="20"/>
        </w:rPr>
        <w:t>UNFPA will focus on</w:t>
      </w:r>
      <w:r w:rsidR="00075ED6" w:rsidRPr="00CD3D9C">
        <w:rPr>
          <w:szCs w:val="20"/>
        </w:rPr>
        <w:t xml:space="preserve"> costing the resources needed to implement the Maldives Gender Equality Law and the Maldives Domestic Violence act. </w:t>
      </w:r>
      <w:bookmarkEnd w:id="35"/>
      <w:r w:rsidR="00075ED6" w:rsidRPr="00CD3D9C">
        <w:rPr>
          <w:szCs w:val="20"/>
        </w:rPr>
        <w:t xml:space="preserve">UNFPA will integrate a </w:t>
      </w:r>
      <w:r w:rsidRPr="00CD3D9C">
        <w:rPr>
          <w:szCs w:val="20"/>
        </w:rPr>
        <w:t xml:space="preserve">human capital </w:t>
      </w:r>
      <w:r w:rsidR="00075ED6" w:rsidRPr="00CD3D9C">
        <w:rPr>
          <w:szCs w:val="20"/>
        </w:rPr>
        <w:t>development needs</w:t>
      </w:r>
      <w:r w:rsidRPr="00CD3D9C">
        <w:rPr>
          <w:szCs w:val="20"/>
        </w:rPr>
        <w:t xml:space="preserve"> for the whole social sector.</w:t>
      </w:r>
      <w:r w:rsidR="00A14D9F" w:rsidRPr="00CD3D9C">
        <w:rPr>
          <w:szCs w:val="20"/>
        </w:rPr>
        <w:t xml:space="preserve"> </w:t>
      </w:r>
    </w:p>
    <w:p w14:paraId="3DD77AD7" w14:textId="77777777" w:rsidR="00973628" w:rsidRDefault="00973628" w:rsidP="00461B34">
      <w:pPr>
        <w:rPr>
          <w:szCs w:val="20"/>
        </w:rPr>
      </w:pPr>
    </w:p>
    <w:p w14:paraId="6D0B213D" w14:textId="685FCA0E" w:rsidR="00461B34" w:rsidRPr="00CD3D9C" w:rsidRDefault="00A14D9F" w:rsidP="00461B34">
      <w:pPr>
        <w:rPr>
          <w:szCs w:val="20"/>
        </w:rPr>
      </w:pPr>
      <w:r w:rsidRPr="00CD3D9C">
        <w:rPr>
          <w:szCs w:val="20"/>
        </w:rPr>
        <w:t xml:space="preserve">Under JP Outcome 2, UNDP will deliver the </w:t>
      </w:r>
      <w:r w:rsidR="00743F0E" w:rsidRPr="00CD3D9C">
        <w:rPr>
          <w:color w:val="000000" w:themeColor="text1"/>
          <w:szCs w:val="20"/>
        </w:rPr>
        <w:t>National Integrated Financing Strategy</w:t>
      </w:r>
      <w:r w:rsidRPr="00CD3D9C">
        <w:rPr>
          <w:szCs w:val="20"/>
        </w:rPr>
        <w:t xml:space="preserve"> (JP output 2.1) including a standalone section on climate finance while WHO, UNICEF and UNFPA will concurrently develop the social sector financing strategy – the social sector chapter of the </w:t>
      </w:r>
      <w:r w:rsidR="00743F0E" w:rsidRPr="00CD3D9C">
        <w:rPr>
          <w:color w:val="000000" w:themeColor="text1"/>
          <w:szCs w:val="20"/>
        </w:rPr>
        <w:t>National Integrated Financing Strategy</w:t>
      </w:r>
      <w:r w:rsidRPr="00CD3D9C">
        <w:rPr>
          <w:szCs w:val="20"/>
        </w:rPr>
        <w:t xml:space="preserve">. UNDP, UNICEF and WHO will implement selected interventions as part of the roll out of </w:t>
      </w:r>
      <w:r w:rsidR="009B2458">
        <w:rPr>
          <w:szCs w:val="20"/>
        </w:rPr>
        <w:t>the gender responsive</w:t>
      </w:r>
      <w:r w:rsidR="009B2458" w:rsidRPr="00CD3D9C">
        <w:rPr>
          <w:szCs w:val="20"/>
        </w:rPr>
        <w:t xml:space="preserve"> </w:t>
      </w:r>
      <w:r w:rsidR="00743F0E" w:rsidRPr="00CD3D9C">
        <w:rPr>
          <w:color w:val="000000" w:themeColor="text1"/>
          <w:szCs w:val="20"/>
        </w:rPr>
        <w:t xml:space="preserve">National Integrated Financing Strategy </w:t>
      </w:r>
      <w:r w:rsidRPr="00CD3D9C">
        <w:rPr>
          <w:szCs w:val="20"/>
        </w:rPr>
        <w:t>under JP output 2.2. Outcome 3</w:t>
      </w:r>
      <w:r w:rsidR="004D507B">
        <w:rPr>
          <w:szCs w:val="20"/>
        </w:rPr>
        <w:t>,</w:t>
      </w:r>
      <w:r w:rsidRPr="00CD3D9C">
        <w:rPr>
          <w:szCs w:val="20"/>
        </w:rPr>
        <w:t xml:space="preserve"> the support to the institutional architecture of the INFF, UNDP and UNICEF will implement relevant outputs and activities. </w:t>
      </w:r>
    </w:p>
    <w:bookmarkEnd w:id="32"/>
    <w:p w14:paraId="51A8EA12" w14:textId="77777777" w:rsidR="009208B5" w:rsidRPr="00CD3D9C" w:rsidRDefault="009208B5" w:rsidP="001134F6">
      <w:pPr>
        <w:rPr>
          <w:i/>
          <w:color w:val="C45911" w:themeColor="accent2" w:themeShade="BF"/>
          <w:szCs w:val="20"/>
        </w:rPr>
      </w:pPr>
    </w:p>
    <w:p w14:paraId="7E7F5AAF" w14:textId="136784D7" w:rsidR="008F4C43" w:rsidRPr="00CD3D9C" w:rsidRDefault="00A81385" w:rsidP="001134F6">
      <w:pPr>
        <w:rPr>
          <w:b/>
          <w:bCs/>
          <w:color w:val="000000" w:themeColor="text1"/>
          <w:szCs w:val="20"/>
        </w:rPr>
      </w:pPr>
      <w:r w:rsidRPr="00CD3D9C">
        <w:rPr>
          <w:b/>
          <w:bCs/>
          <w:color w:val="000000" w:themeColor="text1"/>
          <w:szCs w:val="20"/>
        </w:rPr>
        <w:t>3</w:t>
      </w:r>
      <w:r w:rsidR="00C713FE" w:rsidRPr="00CD3D9C">
        <w:rPr>
          <w:b/>
          <w:bCs/>
          <w:color w:val="000000" w:themeColor="text1"/>
          <w:szCs w:val="20"/>
        </w:rPr>
        <w:t>.</w:t>
      </w:r>
      <w:r w:rsidR="00146AAC" w:rsidRPr="00CD3D9C">
        <w:rPr>
          <w:b/>
          <w:bCs/>
          <w:color w:val="000000" w:themeColor="text1"/>
          <w:szCs w:val="20"/>
        </w:rPr>
        <w:t>2</w:t>
      </w:r>
      <w:r w:rsidR="00C713FE" w:rsidRPr="00CD3D9C">
        <w:rPr>
          <w:b/>
          <w:bCs/>
          <w:color w:val="000000" w:themeColor="text1"/>
          <w:szCs w:val="20"/>
        </w:rPr>
        <w:t xml:space="preserve"> </w:t>
      </w:r>
      <w:r w:rsidR="000741B7" w:rsidRPr="00CD3D9C">
        <w:rPr>
          <w:b/>
          <w:bCs/>
          <w:color w:val="000000" w:themeColor="text1"/>
          <w:szCs w:val="20"/>
        </w:rPr>
        <w:t>Monitoring</w:t>
      </w:r>
      <w:r w:rsidR="003701D4" w:rsidRPr="00CD3D9C">
        <w:rPr>
          <w:b/>
          <w:bCs/>
          <w:color w:val="000000" w:themeColor="text1"/>
          <w:szCs w:val="20"/>
        </w:rPr>
        <w:t xml:space="preserve">, </w:t>
      </w:r>
      <w:r w:rsidR="000741B7" w:rsidRPr="00CD3D9C">
        <w:rPr>
          <w:b/>
          <w:bCs/>
          <w:color w:val="000000" w:themeColor="text1"/>
          <w:szCs w:val="20"/>
        </w:rPr>
        <w:t>reporting</w:t>
      </w:r>
      <w:r w:rsidR="003701D4" w:rsidRPr="00CD3D9C">
        <w:rPr>
          <w:b/>
          <w:bCs/>
          <w:color w:val="000000" w:themeColor="text1"/>
          <w:szCs w:val="20"/>
        </w:rPr>
        <w:t>, and evaluation</w:t>
      </w:r>
    </w:p>
    <w:p w14:paraId="52EEA11C" w14:textId="77777777" w:rsidR="002C2DDE" w:rsidRPr="00CD3D9C" w:rsidRDefault="002C2DDE" w:rsidP="00E20873">
      <w:pPr>
        <w:rPr>
          <w:iCs/>
          <w:color w:val="C45911" w:themeColor="accent2" w:themeShade="BF"/>
          <w:szCs w:val="20"/>
        </w:rPr>
      </w:pPr>
    </w:p>
    <w:p w14:paraId="4C2421D7" w14:textId="16EF1FD6" w:rsidR="00F83209" w:rsidRPr="00CD3D9C" w:rsidRDefault="00F83209" w:rsidP="00F05958">
      <w:pPr>
        <w:rPr>
          <w:szCs w:val="20"/>
        </w:rPr>
      </w:pPr>
      <w:r w:rsidRPr="00CD3D9C">
        <w:rPr>
          <w:szCs w:val="20"/>
        </w:rPr>
        <w:t>Reporting on the Joint SDG Fund will be results-oriented, and evidence based. Each PUNO will provide the Convening/Lead Agent with the following narrative reports prepared in accordance with instructions and templates developed by the</w:t>
      </w:r>
      <w:r w:rsidR="0025465C" w:rsidRPr="00CD3D9C">
        <w:rPr>
          <w:szCs w:val="20"/>
        </w:rPr>
        <w:t xml:space="preserve"> Joint SDG</w:t>
      </w:r>
      <w:r w:rsidRPr="00CD3D9C">
        <w:rPr>
          <w:szCs w:val="20"/>
        </w:rPr>
        <w:t xml:space="preserve"> Fund Secretariat: </w:t>
      </w:r>
    </w:p>
    <w:p w14:paraId="58F60BC1" w14:textId="77777777" w:rsidR="00FF4889" w:rsidRPr="00CD3D9C" w:rsidRDefault="00FF4889" w:rsidP="00F05958">
      <w:pPr>
        <w:rPr>
          <w:szCs w:val="20"/>
        </w:rPr>
      </w:pPr>
    </w:p>
    <w:p w14:paraId="21331158" w14:textId="1C4998C1" w:rsidR="00F83209" w:rsidRPr="00CD3D9C" w:rsidRDefault="00F83209" w:rsidP="00F05958">
      <w:pPr>
        <w:numPr>
          <w:ilvl w:val="0"/>
          <w:numId w:val="15"/>
        </w:numPr>
        <w:rPr>
          <w:color w:val="000000"/>
          <w:szCs w:val="20"/>
        </w:rPr>
      </w:pPr>
      <w:r w:rsidRPr="00CD3D9C">
        <w:rPr>
          <w:i/>
          <w:iCs/>
          <w:color w:val="000000"/>
          <w:szCs w:val="20"/>
        </w:rPr>
        <w:t>Annual narrative progress reports</w:t>
      </w:r>
      <w:r w:rsidRPr="00CD3D9C">
        <w:rPr>
          <w:color w:val="000000"/>
          <w:szCs w:val="20"/>
        </w:rPr>
        <w:t>, to be provided no later than one (1) month (31 January) after the end of the calendar year, and must include the result matrix, updated risk log, and anticipated expenditures and results for the next 12-month funding period;</w:t>
      </w:r>
    </w:p>
    <w:p w14:paraId="3F2D2773" w14:textId="6B7E21FD" w:rsidR="00F83209" w:rsidRPr="00CD3D9C" w:rsidRDefault="00F83209" w:rsidP="00F05958">
      <w:pPr>
        <w:numPr>
          <w:ilvl w:val="0"/>
          <w:numId w:val="15"/>
        </w:numPr>
        <w:rPr>
          <w:color w:val="000000"/>
          <w:szCs w:val="20"/>
        </w:rPr>
      </w:pPr>
      <w:r w:rsidRPr="00CD3D9C">
        <w:rPr>
          <w:i/>
          <w:iCs/>
          <w:color w:val="000000"/>
          <w:szCs w:val="20"/>
        </w:rPr>
        <w:t>Mid-term progress review report</w:t>
      </w:r>
      <w:r w:rsidRPr="00CD3D9C">
        <w:rPr>
          <w:color w:val="000000"/>
          <w:szCs w:val="20"/>
        </w:rPr>
        <w:t xml:space="preserve"> to be submitted halfway through the implementation of J</w:t>
      </w:r>
      <w:r w:rsidR="00E20873" w:rsidRPr="00CD3D9C">
        <w:rPr>
          <w:color w:val="000000"/>
          <w:szCs w:val="20"/>
        </w:rPr>
        <w:t xml:space="preserve">oint </w:t>
      </w:r>
      <w:r w:rsidRPr="00CD3D9C">
        <w:rPr>
          <w:color w:val="000000"/>
          <w:szCs w:val="20"/>
        </w:rPr>
        <w:t>P</w:t>
      </w:r>
      <w:r w:rsidR="00E20873" w:rsidRPr="00CD3D9C">
        <w:rPr>
          <w:color w:val="000000"/>
          <w:szCs w:val="20"/>
        </w:rPr>
        <w:t>rogramme</w:t>
      </w:r>
      <w:r w:rsidR="00E20873" w:rsidRPr="00CD3D9C">
        <w:rPr>
          <w:rStyle w:val="FootnoteReference"/>
          <w:color w:val="000000"/>
          <w:szCs w:val="20"/>
        </w:rPr>
        <w:footnoteReference w:id="10"/>
      </w:r>
      <w:r w:rsidRPr="00CD3D9C">
        <w:rPr>
          <w:color w:val="000000"/>
          <w:szCs w:val="20"/>
        </w:rPr>
        <w:t>; and</w:t>
      </w:r>
    </w:p>
    <w:p w14:paraId="424F2F62" w14:textId="0FF105DE" w:rsidR="00F83209" w:rsidRPr="00CD3D9C" w:rsidRDefault="0025465C" w:rsidP="00F05958">
      <w:pPr>
        <w:numPr>
          <w:ilvl w:val="0"/>
          <w:numId w:val="15"/>
        </w:numPr>
        <w:rPr>
          <w:color w:val="000000"/>
          <w:szCs w:val="20"/>
        </w:rPr>
      </w:pPr>
      <w:r w:rsidRPr="00CD3D9C">
        <w:rPr>
          <w:i/>
          <w:iCs/>
          <w:color w:val="000000"/>
          <w:szCs w:val="20"/>
        </w:rPr>
        <w:t>F</w:t>
      </w:r>
      <w:r w:rsidR="00F83209" w:rsidRPr="00CD3D9C">
        <w:rPr>
          <w:i/>
          <w:iCs/>
          <w:color w:val="000000"/>
          <w:szCs w:val="20"/>
        </w:rPr>
        <w:t xml:space="preserve">inal </w:t>
      </w:r>
      <w:r w:rsidR="00F83209" w:rsidRPr="00CD3D9C">
        <w:rPr>
          <w:i/>
          <w:iCs/>
          <w:szCs w:val="20"/>
        </w:rPr>
        <w:t>consolidated narrative</w:t>
      </w:r>
      <w:r w:rsidR="00F83209" w:rsidRPr="00CD3D9C">
        <w:rPr>
          <w:i/>
          <w:iCs/>
          <w:color w:val="000000"/>
          <w:szCs w:val="20"/>
        </w:rPr>
        <w:t xml:space="preserve"> report</w:t>
      </w:r>
      <w:r w:rsidR="00F83209" w:rsidRPr="00CD3D9C">
        <w:rPr>
          <w:color w:val="000000"/>
          <w:szCs w:val="20"/>
        </w:rPr>
        <w:t xml:space="preserve">, after the completion of </w:t>
      </w:r>
      <w:r w:rsidR="00E20873" w:rsidRPr="00CD3D9C">
        <w:rPr>
          <w:color w:val="000000"/>
          <w:szCs w:val="20"/>
        </w:rPr>
        <w:t>the joint programme</w:t>
      </w:r>
      <w:r w:rsidR="00F83209" w:rsidRPr="00CD3D9C">
        <w:rPr>
          <w:color w:val="000000"/>
          <w:szCs w:val="20"/>
        </w:rPr>
        <w:t xml:space="preserve">, to be provided no later than </w:t>
      </w:r>
      <w:r w:rsidR="00F83209" w:rsidRPr="00CD3D9C">
        <w:rPr>
          <w:szCs w:val="20"/>
        </w:rPr>
        <w:t>two (2)</w:t>
      </w:r>
      <w:r w:rsidR="00F83209" w:rsidRPr="00CD3D9C">
        <w:rPr>
          <w:color w:val="000000"/>
          <w:szCs w:val="20"/>
        </w:rPr>
        <w:t xml:space="preserve"> months after the operational closure of the activities </w:t>
      </w:r>
      <w:r w:rsidR="00F83209" w:rsidRPr="00CD3D9C">
        <w:rPr>
          <w:szCs w:val="20"/>
        </w:rPr>
        <w:t>of</w:t>
      </w:r>
      <w:r w:rsidR="00F83209" w:rsidRPr="00CD3D9C">
        <w:rPr>
          <w:color w:val="000000"/>
          <w:szCs w:val="20"/>
        </w:rPr>
        <w:t xml:space="preserve"> the </w:t>
      </w:r>
      <w:r w:rsidR="00E20873" w:rsidRPr="00CD3D9C">
        <w:rPr>
          <w:szCs w:val="20"/>
        </w:rPr>
        <w:t>joint programme</w:t>
      </w:r>
      <w:r w:rsidR="00F83209" w:rsidRPr="00CD3D9C">
        <w:rPr>
          <w:color w:val="000000"/>
          <w:szCs w:val="20"/>
        </w:rPr>
        <w:t xml:space="preserve">. </w:t>
      </w:r>
    </w:p>
    <w:p w14:paraId="72D99CD0" w14:textId="77777777" w:rsidR="00F83209" w:rsidRPr="00CD3D9C" w:rsidRDefault="00F83209" w:rsidP="00F05958">
      <w:pPr>
        <w:rPr>
          <w:szCs w:val="20"/>
        </w:rPr>
      </w:pPr>
    </w:p>
    <w:p w14:paraId="7EBED411" w14:textId="17253369" w:rsidR="0025465C" w:rsidRDefault="00F83209" w:rsidP="00F05958">
      <w:pPr>
        <w:rPr>
          <w:szCs w:val="20"/>
        </w:rPr>
      </w:pPr>
      <w:r w:rsidRPr="00CD3D9C">
        <w:rPr>
          <w:szCs w:val="20"/>
        </w:rPr>
        <w:t xml:space="preserve">The Convening/Lead Agent will compile the narrative </w:t>
      </w:r>
      <w:r w:rsidRPr="00357710">
        <w:rPr>
          <w:szCs w:val="20"/>
        </w:rPr>
        <w:t xml:space="preserve">reports of PUNOs and submit a consolidated report to the </w:t>
      </w:r>
      <w:r w:rsidR="0025465C" w:rsidRPr="00357710">
        <w:rPr>
          <w:szCs w:val="20"/>
        </w:rPr>
        <w:t xml:space="preserve">Joint SDG </w:t>
      </w:r>
      <w:r w:rsidRPr="00357710">
        <w:rPr>
          <w:szCs w:val="20"/>
        </w:rPr>
        <w:t xml:space="preserve">Fund Secretariat, through the Resident Coordinator. </w:t>
      </w:r>
    </w:p>
    <w:p w14:paraId="0931F07B" w14:textId="5BE34E09" w:rsidR="00DC4408" w:rsidRDefault="00DC4408" w:rsidP="00F05958">
      <w:pPr>
        <w:rPr>
          <w:szCs w:val="20"/>
        </w:rPr>
      </w:pPr>
    </w:p>
    <w:p w14:paraId="296BBFFC" w14:textId="77777777" w:rsidR="00DC4408" w:rsidRPr="006451B9" w:rsidRDefault="00DC4408" w:rsidP="00DC4408">
      <w:pPr>
        <w:rPr>
          <w:szCs w:val="20"/>
        </w:rPr>
      </w:pPr>
      <w:r w:rsidRPr="006451B9">
        <w:rPr>
          <w:szCs w:val="20"/>
        </w:rPr>
        <w:t>In addition to the reporting outlined above, each PUNO will draw on the technical expertise at Country Office, regional and HQ level, and ensure collaborative efforts are maximized throughout the programme cycle. This includes access to expert rosters and tools that have already been tested in other countries to implement their respective activities. As such:</w:t>
      </w:r>
    </w:p>
    <w:p w14:paraId="25B0DDFF" w14:textId="77777777" w:rsidR="00DC4408" w:rsidRPr="006451B9" w:rsidRDefault="00DC4408" w:rsidP="00DC4408">
      <w:pPr>
        <w:rPr>
          <w:szCs w:val="20"/>
        </w:rPr>
      </w:pPr>
    </w:p>
    <w:p w14:paraId="0D414300" w14:textId="7AC27FC8" w:rsidR="00DC4408" w:rsidRPr="006451B9" w:rsidRDefault="00DC4408" w:rsidP="002475E7">
      <w:r w:rsidRPr="006451B9">
        <w:t xml:space="preserve">UNDP will monitor the achievement of the overall outcome, including contributions from other partners, to inform needed adjustments in UNDP’s contribution to results. </w:t>
      </w:r>
      <w:r w:rsidRPr="006451B9">
        <w:rPr>
          <w:szCs w:val="20"/>
        </w:rPr>
        <w:t xml:space="preserve">UNDP will build on regional and global lesson learnt from other countries. In addition, UNDP will act as technical experts during the monitoring to ensure the fully fledged INFF committee is inclusive. </w:t>
      </w:r>
      <w:r w:rsidRPr="006451B9">
        <w:t xml:space="preserve">Data and other evidence collected from monitoring, along with analysis, </w:t>
      </w:r>
      <w:r w:rsidR="00F1426D" w:rsidRPr="006451B9">
        <w:t>lessons,</w:t>
      </w:r>
      <w:r w:rsidRPr="006451B9">
        <w:t xml:space="preserve"> and decisions to improve performance, will be regularly reported in the annual reporting</w:t>
      </w:r>
      <w:r w:rsidR="002475E7" w:rsidRPr="006451B9">
        <w:t>.</w:t>
      </w:r>
      <w:r w:rsidRPr="006451B9">
        <w:t xml:space="preserve"> </w:t>
      </w:r>
    </w:p>
    <w:p w14:paraId="66B4C876" w14:textId="77777777" w:rsidR="00DC4408" w:rsidRPr="006451B9" w:rsidRDefault="00DC4408" w:rsidP="00DC4408">
      <w:pPr>
        <w:rPr>
          <w:szCs w:val="20"/>
        </w:rPr>
      </w:pPr>
    </w:p>
    <w:p w14:paraId="55720E9A" w14:textId="3AA00643" w:rsidR="00DC4408" w:rsidRPr="006451B9" w:rsidRDefault="00DC4408" w:rsidP="00DC4408">
      <w:pPr>
        <w:rPr>
          <w:szCs w:val="20"/>
        </w:rPr>
      </w:pPr>
      <w:r w:rsidRPr="006451B9">
        <w:t xml:space="preserve">WHO will bring on board </w:t>
      </w:r>
      <w:r w:rsidRPr="006451B9">
        <w:rPr>
          <w:szCs w:val="20"/>
        </w:rPr>
        <w:t xml:space="preserve">technical expertise from three working levels of WHO are guiding countries to reduce financial barriers to access healthcare and using funds in a way that promotes efficiency and equity. Throughout the JP monitoring process WHO will ensure the </w:t>
      </w:r>
      <w:r w:rsidRPr="006451B9">
        <w:rPr>
          <w:szCs w:val="20"/>
        </w:rPr>
        <w:lastRenderedPageBreak/>
        <w:t xml:space="preserve">key health financing areas developed, are available for everyone and whether people can afford to use health services when they need them. WHO will facilitate bringing expertise beyond WHO for high quality technical assistance from Alliance for Health Policy and Systems Research </w:t>
      </w:r>
      <w:r w:rsidR="00F1426D" w:rsidRPr="006451B9">
        <w:rPr>
          <w:szCs w:val="20"/>
        </w:rPr>
        <w:t>and</w:t>
      </w:r>
      <w:r w:rsidRPr="006451B9">
        <w:rPr>
          <w:szCs w:val="20"/>
        </w:rPr>
        <w:t xml:space="preserve"> </w:t>
      </w:r>
      <w:r w:rsidR="00F1426D" w:rsidRPr="006451B9">
        <w:rPr>
          <w:szCs w:val="20"/>
        </w:rPr>
        <w:t xml:space="preserve">also </w:t>
      </w:r>
      <w:r w:rsidRPr="006451B9">
        <w:rPr>
          <w:szCs w:val="20"/>
        </w:rPr>
        <w:t xml:space="preserve">WHO Collaborating Centers in the areas of health financing and beyond to ensure quality. WHO will also tap into technical expertise from </w:t>
      </w:r>
      <w:r w:rsidRPr="006451B9">
        <w:rPr>
          <w:rFonts w:eastAsia="Times New Roman"/>
        </w:rPr>
        <w:t xml:space="preserve">WHO Country Office, HQ and SEARO to lead </w:t>
      </w:r>
      <w:r w:rsidRPr="006451B9">
        <w:rPr>
          <w:szCs w:val="20"/>
        </w:rPr>
        <w:t xml:space="preserve">the health sector related costing and automate the medicine and medical material management to minimize health spending leakages in procurement and distribution. </w:t>
      </w:r>
    </w:p>
    <w:p w14:paraId="13A6FB05" w14:textId="77777777" w:rsidR="00DC4408" w:rsidRPr="006451B9" w:rsidRDefault="00DC4408" w:rsidP="00DC4408">
      <w:pPr>
        <w:rPr>
          <w:szCs w:val="20"/>
        </w:rPr>
      </w:pPr>
    </w:p>
    <w:p w14:paraId="07F8B6D4" w14:textId="56632F8C" w:rsidR="00DC4408" w:rsidRPr="006451B9" w:rsidRDefault="00DC4408" w:rsidP="00DC4408">
      <w:pPr>
        <w:rPr>
          <w:szCs w:val="20"/>
        </w:rPr>
      </w:pPr>
      <w:r w:rsidRPr="006451B9">
        <w:rPr>
          <w:szCs w:val="20"/>
        </w:rPr>
        <w:t xml:space="preserve">UNICEF will be supporting the monitoring of the JP through in-house capacity both at CO and RO level. UNICEF’s global expertise in the area of Public Finance for Children will be mobilized for the JP. </w:t>
      </w:r>
      <w:r w:rsidR="009B6CC6" w:rsidRPr="006451B9">
        <w:rPr>
          <w:szCs w:val="20"/>
        </w:rPr>
        <w:t>UNICEF</w:t>
      </w:r>
      <w:r w:rsidRPr="006451B9">
        <w:rPr>
          <w:szCs w:val="20"/>
        </w:rPr>
        <w:t xml:space="preserve"> will focus on the overall social sector costing exercise and investment plan development. UNICEF will specifically look at the monitoring functions of the INFF Oversight Committee and put in place the monitoring and evaluation framework and the associated statistical and data capacity. UNICEF will provide the capacity building support for the public-private platforms and advocacy targeting the business actors and associations. </w:t>
      </w:r>
    </w:p>
    <w:p w14:paraId="3C2FAECE" w14:textId="77777777" w:rsidR="00DC4408" w:rsidRPr="006451B9" w:rsidRDefault="00DC4408" w:rsidP="00DC4408">
      <w:pPr>
        <w:rPr>
          <w:szCs w:val="20"/>
        </w:rPr>
      </w:pPr>
    </w:p>
    <w:p w14:paraId="0C51D6B4" w14:textId="77777777" w:rsidR="00DC4408" w:rsidRPr="006451B9" w:rsidRDefault="00DC4408" w:rsidP="00DC4408">
      <w:pPr>
        <w:rPr>
          <w:szCs w:val="20"/>
        </w:rPr>
      </w:pPr>
      <w:r w:rsidRPr="006451B9">
        <w:rPr>
          <w:szCs w:val="20"/>
        </w:rPr>
        <w:t>UNFPA will also draw on regional expertise and utilize UNFPA Bangkok regional Hub to support in country capacity in delivering the activities in the social sector costing services.</w:t>
      </w:r>
    </w:p>
    <w:p w14:paraId="3AA65DE8" w14:textId="35C2601E" w:rsidR="00DC4408" w:rsidRPr="006451B9" w:rsidRDefault="00DC4408" w:rsidP="00DC4408">
      <w:pPr>
        <w:rPr>
          <w:szCs w:val="20"/>
        </w:rPr>
      </w:pPr>
      <w:r w:rsidRPr="006451B9">
        <w:rPr>
          <w:szCs w:val="20"/>
        </w:rPr>
        <w:t xml:space="preserve">UNFPA will support the application of a human capital development and </w:t>
      </w:r>
      <w:r w:rsidRPr="006451B9">
        <w:t>gender lens</w:t>
      </w:r>
      <w:r w:rsidRPr="006451B9">
        <w:rPr>
          <w:szCs w:val="20"/>
        </w:rPr>
        <w:t xml:space="preserve"> to the costing methodology. UNFPA</w:t>
      </w:r>
      <w:r w:rsidR="00997DF0" w:rsidRPr="006451B9">
        <w:rPr>
          <w:szCs w:val="20"/>
        </w:rPr>
        <w:t xml:space="preserve"> will support</w:t>
      </w:r>
      <w:r w:rsidRPr="006451B9">
        <w:rPr>
          <w:szCs w:val="20"/>
        </w:rPr>
        <w:t xml:space="preserve"> </w:t>
      </w:r>
      <w:r w:rsidR="00997DF0" w:rsidRPr="006451B9">
        <w:rPr>
          <w:szCs w:val="20"/>
        </w:rPr>
        <w:t xml:space="preserve">to ensure </w:t>
      </w:r>
      <w:r w:rsidRPr="006451B9">
        <w:rPr>
          <w:szCs w:val="20"/>
        </w:rPr>
        <w:t xml:space="preserve">a gender responsive lens </w:t>
      </w:r>
      <w:r w:rsidR="00330A9F" w:rsidRPr="006451B9">
        <w:rPr>
          <w:szCs w:val="20"/>
        </w:rPr>
        <w:t xml:space="preserve">is </w:t>
      </w:r>
      <w:r w:rsidR="00997DF0" w:rsidRPr="006451B9">
        <w:rPr>
          <w:szCs w:val="20"/>
        </w:rPr>
        <w:t xml:space="preserve">maintained, </w:t>
      </w:r>
      <w:r w:rsidR="00330A9F" w:rsidRPr="006451B9">
        <w:rPr>
          <w:szCs w:val="20"/>
        </w:rPr>
        <w:t>throughout</w:t>
      </w:r>
      <w:r w:rsidR="00997DF0" w:rsidRPr="006451B9">
        <w:rPr>
          <w:szCs w:val="20"/>
        </w:rPr>
        <w:t xml:space="preserve"> the JP cycle.</w:t>
      </w:r>
    </w:p>
    <w:p w14:paraId="51DE9F9B" w14:textId="5ECC3412" w:rsidR="0025465C" w:rsidRPr="00357710" w:rsidRDefault="0025465C" w:rsidP="00F05958">
      <w:pPr>
        <w:rPr>
          <w:szCs w:val="20"/>
        </w:rPr>
      </w:pPr>
    </w:p>
    <w:p w14:paraId="3FDEE020" w14:textId="4E75EA65" w:rsidR="00F83209" w:rsidRPr="00CD3D9C" w:rsidRDefault="00B556D9" w:rsidP="00F05958">
      <w:pPr>
        <w:rPr>
          <w:szCs w:val="20"/>
        </w:rPr>
      </w:pPr>
      <w:r w:rsidRPr="00357710">
        <w:rPr>
          <w:szCs w:val="20"/>
        </w:rPr>
        <w:t>The Resident Coordinator will be required</w:t>
      </w:r>
      <w:r w:rsidRPr="00CD3D9C">
        <w:rPr>
          <w:szCs w:val="20"/>
        </w:rPr>
        <w:t xml:space="preserve"> to monitor the implementation of the joint programme, with the involvement of Joint SDG Fund Secretariat to which it must submit data and information when requested. A</w:t>
      </w:r>
      <w:r w:rsidR="003F44E8">
        <w:rPr>
          <w:szCs w:val="20"/>
        </w:rPr>
        <w:t>t</w:t>
      </w:r>
      <w:r w:rsidRPr="00CD3D9C">
        <w:rPr>
          <w:szCs w:val="20"/>
        </w:rPr>
        <w:t xml:space="preserve"> minimum, joint programmes will prepare, and submit to the Joint SDG Fund Secretariat, 6-month monitoring updates. Additional insights (such as policy papers, value for money analysis, case studies, infographics, blogs) might need to be provided, per request of the Joint SDG Fund Secretariat. Joint programme will allocate resources for monitoring and evaluation in the budget.</w:t>
      </w:r>
    </w:p>
    <w:p w14:paraId="4FC85505" w14:textId="77777777" w:rsidR="0025465C" w:rsidRPr="00CD3D9C" w:rsidRDefault="0025465C" w:rsidP="00F05958">
      <w:pPr>
        <w:rPr>
          <w:szCs w:val="20"/>
        </w:rPr>
      </w:pPr>
    </w:p>
    <w:p w14:paraId="5FF91CB0" w14:textId="57B17EFB" w:rsidR="00F83209" w:rsidRPr="00CD3D9C" w:rsidRDefault="00F83209" w:rsidP="00F05958">
      <w:pPr>
        <w:rPr>
          <w:szCs w:val="20"/>
        </w:rPr>
      </w:pPr>
      <w:r w:rsidRPr="00CD3D9C">
        <w:rPr>
          <w:szCs w:val="20"/>
        </w:rPr>
        <w:t xml:space="preserve">Data for all indicators of the results framework will be shared with the Fund Secretariat on a regular basis, in order to allow the Fund Secretariat to aggregate results at the global level and integrate findings into reporting on progress of the Joint SDG Fund. </w:t>
      </w:r>
    </w:p>
    <w:p w14:paraId="623ACC28" w14:textId="77777777" w:rsidR="0025465C" w:rsidRPr="00CD3D9C" w:rsidRDefault="0025465C" w:rsidP="00F05958">
      <w:pPr>
        <w:rPr>
          <w:szCs w:val="20"/>
        </w:rPr>
      </w:pPr>
    </w:p>
    <w:p w14:paraId="72CE645A" w14:textId="1CAE0D12" w:rsidR="00F83209" w:rsidRPr="00CD3D9C" w:rsidRDefault="00F83209" w:rsidP="00F05958">
      <w:pPr>
        <w:rPr>
          <w:szCs w:val="20"/>
        </w:rPr>
      </w:pPr>
      <w:r w:rsidRPr="00CD3D9C">
        <w:rPr>
          <w:szCs w:val="20"/>
        </w:rPr>
        <w:t>PUNOs will be required to include information on complementary funding received from other sources (both UN cost sharing, and external sources of funding) for the activities supported by the Fund, including in</w:t>
      </w:r>
      <w:r w:rsidR="003F44E8">
        <w:rPr>
          <w:szCs w:val="20"/>
        </w:rPr>
        <w:t>-</w:t>
      </w:r>
      <w:r w:rsidRPr="00CD3D9C">
        <w:rPr>
          <w:szCs w:val="20"/>
        </w:rPr>
        <w:t xml:space="preserve">kind contributions and/or South-South Cooperation initiatives, in the reporting done throughout the year. </w:t>
      </w:r>
    </w:p>
    <w:p w14:paraId="72ECB76B" w14:textId="77777777" w:rsidR="00F83209" w:rsidRPr="00CD3D9C" w:rsidRDefault="00F83209" w:rsidP="00F05958">
      <w:pPr>
        <w:rPr>
          <w:szCs w:val="20"/>
        </w:rPr>
      </w:pPr>
    </w:p>
    <w:p w14:paraId="7E458545" w14:textId="7E9058C7" w:rsidR="00F83209" w:rsidRPr="00CD3D9C" w:rsidRDefault="00F83209" w:rsidP="00F05958">
      <w:pPr>
        <w:rPr>
          <w:szCs w:val="20"/>
        </w:rPr>
      </w:pPr>
      <w:r w:rsidRPr="00CD3D9C">
        <w:rPr>
          <w:szCs w:val="20"/>
        </w:rPr>
        <w:t>PUNOs at Headquarters level shall provide the Administrative Agent with the following statements and reports prepared in accordance with its accounting and reporting procedures, consolidate the financial reports</w:t>
      </w:r>
      <w:r w:rsidR="0025465C" w:rsidRPr="00CD3D9C">
        <w:rPr>
          <w:szCs w:val="20"/>
        </w:rPr>
        <w:t>, as follows</w:t>
      </w:r>
      <w:r w:rsidRPr="00CD3D9C">
        <w:rPr>
          <w:szCs w:val="20"/>
        </w:rPr>
        <w:t>:</w:t>
      </w:r>
    </w:p>
    <w:p w14:paraId="02AAB705" w14:textId="77777777" w:rsidR="0025465C" w:rsidRPr="00CD3D9C" w:rsidRDefault="0025465C" w:rsidP="00F05958">
      <w:pPr>
        <w:rPr>
          <w:szCs w:val="20"/>
        </w:rPr>
      </w:pPr>
    </w:p>
    <w:p w14:paraId="4C169C94" w14:textId="77777777" w:rsidR="00F83209" w:rsidRPr="00CD3D9C" w:rsidRDefault="00F83209" w:rsidP="00F05958">
      <w:pPr>
        <w:numPr>
          <w:ilvl w:val="0"/>
          <w:numId w:val="16"/>
        </w:numPr>
        <w:rPr>
          <w:szCs w:val="20"/>
        </w:rPr>
      </w:pPr>
      <w:r w:rsidRPr="00CD3D9C">
        <w:rPr>
          <w:color w:val="000000"/>
          <w:szCs w:val="20"/>
        </w:rPr>
        <w:t>Annual financial reports as of 31st December each year with respect to the funds disbursed to it from the Joint SDG Fund Account, to be provided no later than four months after the end of the applicable reporting period; and</w:t>
      </w:r>
    </w:p>
    <w:p w14:paraId="1A81C4FE" w14:textId="77777777" w:rsidR="00F83209" w:rsidRPr="00CD3D9C" w:rsidRDefault="00F83209" w:rsidP="00F05958">
      <w:pPr>
        <w:numPr>
          <w:ilvl w:val="0"/>
          <w:numId w:val="16"/>
        </w:numPr>
        <w:rPr>
          <w:szCs w:val="20"/>
        </w:rPr>
      </w:pPr>
      <w:r w:rsidRPr="00CD3D9C">
        <w:rPr>
          <w:color w:val="000000"/>
          <w:szCs w:val="20"/>
        </w:rPr>
        <w:t>A final financial report, after the completion of the activities financed by the Joint SDG Fund and including the final year of the activities, to be provided no later than 30 April of the year following the operational closing of the project activities.</w:t>
      </w:r>
    </w:p>
    <w:p w14:paraId="7F6EF4F9" w14:textId="77777777" w:rsidR="00F83209" w:rsidRPr="00CD3D9C" w:rsidRDefault="00F83209" w:rsidP="00E20873">
      <w:pPr>
        <w:jc w:val="both"/>
        <w:rPr>
          <w:color w:val="000000"/>
          <w:szCs w:val="20"/>
        </w:rPr>
      </w:pPr>
    </w:p>
    <w:p w14:paraId="78F084BE" w14:textId="5BE2096C" w:rsidR="00F83209" w:rsidRPr="00CD3D9C" w:rsidRDefault="00F83209" w:rsidP="00F05958">
      <w:pPr>
        <w:rPr>
          <w:szCs w:val="20"/>
        </w:rPr>
      </w:pPr>
      <w:r w:rsidRPr="00CD3D9C">
        <w:rPr>
          <w:szCs w:val="20"/>
        </w:rPr>
        <w:lastRenderedPageBreak/>
        <w:t>In addition, regular updates on financial delivery might need to be provided, per request of the Fund Secretariat.</w:t>
      </w:r>
    </w:p>
    <w:p w14:paraId="15ADA1E4" w14:textId="77777777" w:rsidR="0025465C" w:rsidRPr="00CD3D9C" w:rsidRDefault="0025465C" w:rsidP="00F05958">
      <w:pPr>
        <w:rPr>
          <w:szCs w:val="20"/>
        </w:rPr>
      </w:pPr>
    </w:p>
    <w:p w14:paraId="785B0E6F" w14:textId="5C381FFD" w:rsidR="001B54FE" w:rsidRPr="00CD3D9C" w:rsidRDefault="00F83209" w:rsidP="00F05958">
      <w:pPr>
        <w:rPr>
          <w:szCs w:val="20"/>
        </w:rPr>
      </w:pPr>
      <w:r w:rsidRPr="00CD3D9C">
        <w:rPr>
          <w:szCs w:val="20"/>
        </w:rPr>
        <w:t xml:space="preserve">After competition of a </w:t>
      </w:r>
      <w:r w:rsidR="00B556D9" w:rsidRPr="00CD3D9C">
        <w:rPr>
          <w:szCs w:val="20"/>
        </w:rPr>
        <w:t xml:space="preserve">joint programme, a </w:t>
      </w:r>
      <w:r w:rsidRPr="00CD3D9C">
        <w:rPr>
          <w:szCs w:val="20"/>
        </w:rPr>
        <w:t xml:space="preserve">final, </w:t>
      </w:r>
      <w:r w:rsidRPr="00CD3D9C">
        <w:rPr>
          <w:i/>
          <w:iCs/>
          <w:szCs w:val="20"/>
        </w:rPr>
        <w:t xml:space="preserve">independent </w:t>
      </w:r>
      <w:r w:rsidR="001E5E29" w:rsidRPr="00CD3D9C">
        <w:rPr>
          <w:i/>
          <w:iCs/>
          <w:szCs w:val="20"/>
        </w:rPr>
        <w:t>and gender-responsive</w:t>
      </w:r>
      <w:r w:rsidR="001E5E29" w:rsidRPr="00CD3D9C">
        <w:rPr>
          <w:rStyle w:val="FootnoteReference"/>
          <w:i/>
          <w:iCs/>
          <w:szCs w:val="20"/>
        </w:rPr>
        <w:footnoteReference w:id="11"/>
      </w:r>
      <w:r w:rsidR="001E5E29" w:rsidRPr="00CD3D9C">
        <w:rPr>
          <w:i/>
          <w:iCs/>
          <w:szCs w:val="20"/>
        </w:rPr>
        <w:t xml:space="preserve"> </w:t>
      </w:r>
      <w:r w:rsidRPr="00CD3D9C">
        <w:rPr>
          <w:i/>
          <w:iCs/>
          <w:szCs w:val="20"/>
        </w:rPr>
        <w:t>evaluatio</w:t>
      </w:r>
      <w:r w:rsidR="00B556D9" w:rsidRPr="00CD3D9C">
        <w:rPr>
          <w:i/>
          <w:iCs/>
          <w:szCs w:val="20"/>
        </w:rPr>
        <w:t>n</w:t>
      </w:r>
      <w:r w:rsidR="00B556D9" w:rsidRPr="00CD3D9C">
        <w:rPr>
          <w:szCs w:val="20"/>
        </w:rPr>
        <w:t xml:space="preserve"> will be organized by </w:t>
      </w:r>
      <w:r w:rsidR="00B556D9" w:rsidRPr="00357710">
        <w:rPr>
          <w:szCs w:val="20"/>
        </w:rPr>
        <w:t>the Resident Coordinator.</w:t>
      </w:r>
      <w:r w:rsidR="00063EC4" w:rsidRPr="00CD3D9C">
        <w:rPr>
          <w:szCs w:val="20"/>
        </w:rPr>
        <w:t xml:space="preserve"> The cost needs to be budgeted, and in case there are no remaining funds at the end of the joint programme, it will be the responsibility of PUNOs to pay for the final, independent evaluation</w:t>
      </w:r>
      <w:r w:rsidR="0002029F" w:rsidRPr="00CD3D9C">
        <w:rPr>
          <w:szCs w:val="20"/>
        </w:rPr>
        <w:t xml:space="preserve"> from their own resources.</w:t>
      </w:r>
    </w:p>
    <w:p w14:paraId="075472E4" w14:textId="77777777" w:rsidR="001B54FE" w:rsidRPr="00CD3D9C" w:rsidRDefault="001B54FE" w:rsidP="00F05958">
      <w:pPr>
        <w:rPr>
          <w:szCs w:val="20"/>
        </w:rPr>
      </w:pPr>
    </w:p>
    <w:p w14:paraId="242E778F" w14:textId="7E5A3B97" w:rsidR="001B54FE" w:rsidRPr="00CD3D9C" w:rsidRDefault="001B54FE" w:rsidP="00F05958">
      <w:pPr>
        <w:rPr>
          <w:szCs w:val="20"/>
        </w:rPr>
      </w:pPr>
      <w:r w:rsidRPr="00CD3D9C">
        <w:rPr>
          <w:color w:val="000000" w:themeColor="text1"/>
          <w:szCs w:val="20"/>
          <w:lang w:val="en-GB"/>
        </w:rPr>
        <w:t xml:space="preserve">The joint programme will be subjected to a joint final independent evaluation. It will be managed jointly by PUNOs as per established process for independent evaluations, including the use of a joint evaluation steering group and dedicated evaluation managers not involved in the implementation of the joint programme. The evaluations will follow the United Nations Evaluation Group’s (UNEG) Norms and Standards for Evaluation in the UN System, using the guidance on </w:t>
      </w:r>
      <w:hyperlink r:id="rId59" w:history="1">
        <w:r w:rsidRPr="00CD3D9C">
          <w:rPr>
            <w:rStyle w:val="Hyperlink"/>
            <w:color w:val="000000" w:themeColor="text1"/>
            <w:szCs w:val="20"/>
            <w:lang w:val="en-GB"/>
          </w:rPr>
          <w:t>Joint Evaluation and relevant UNDG guidance on evaluations</w:t>
        </w:r>
      </w:hyperlink>
      <w:r w:rsidRPr="00CD3D9C">
        <w:rPr>
          <w:color w:val="000000" w:themeColor="text1"/>
          <w:szCs w:val="20"/>
          <w:lang w:val="en-GB"/>
        </w:rPr>
        <w:t xml:space="preserve">. The management and implementation of the joint evaluation will have due regard to the evaluation policies of PUNOs to ensure the requirements of those policies are met and the evaluation is conducted with use of appropriate guidance from PUNOs on joint evaluation. The evaluation process will be participative and will involve all </w:t>
      </w:r>
      <w:r w:rsidR="00195769">
        <w:rPr>
          <w:color w:val="000000" w:themeColor="text1"/>
          <w:szCs w:val="20"/>
          <w:lang w:val="en-GB"/>
        </w:rPr>
        <w:t xml:space="preserve">the </w:t>
      </w:r>
      <w:r w:rsidRPr="00CD3D9C">
        <w:rPr>
          <w:color w:val="000000" w:themeColor="text1"/>
          <w:szCs w:val="20"/>
          <w:lang w:val="en-GB"/>
        </w:rPr>
        <w:t>relevant stakeholders and partners</w:t>
      </w:r>
      <w:r w:rsidR="00195769">
        <w:rPr>
          <w:color w:val="000000" w:themeColor="text1"/>
          <w:szCs w:val="20"/>
          <w:lang w:val="en-GB"/>
        </w:rPr>
        <w:t xml:space="preserve"> of the programme</w:t>
      </w:r>
      <w:r w:rsidRPr="00CD3D9C">
        <w:rPr>
          <w:color w:val="000000" w:themeColor="text1"/>
          <w:szCs w:val="20"/>
          <w:lang w:val="en-GB"/>
        </w:rPr>
        <w:t>. Evaluation results will be disseminated amongst government, development partners, civil society, and other stakeholders. A joint management response will be produced upon completion of the evaluation process and made publicly available on the evaluation platforms or similar of PUNOs.</w:t>
      </w:r>
    </w:p>
    <w:p w14:paraId="215DBD28" w14:textId="77777777" w:rsidR="001B54FE" w:rsidRPr="00CD3D9C" w:rsidRDefault="001B54FE" w:rsidP="00E20873">
      <w:pPr>
        <w:jc w:val="both"/>
        <w:rPr>
          <w:szCs w:val="20"/>
        </w:rPr>
      </w:pPr>
    </w:p>
    <w:p w14:paraId="7D7B1B88" w14:textId="77777777" w:rsidR="00E20873" w:rsidRPr="00CD3D9C" w:rsidRDefault="00E20873" w:rsidP="00E20873">
      <w:pPr>
        <w:jc w:val="both"/>
        <w:rPr>
          <w:szCs w:val="20"/>
        </w:rPr>
      </w:pPr>
    </w:p>
    <w:p w14:paraId="4E1E7C0D" w14:textId="497BAF87" w:rsidR="00D320F8" w:rsidRPr="00CD3D9C" w:rsidRDefault="00A81385" w:rsidP="00D320F8">
      <w:pPr>
        <w:rPr>
          <w:b/>
          <w:bCs/>
          <w:color w:val="000000" w:themeColor="text1"/>
          <w:szCs w:val="20"/>
        </w:rPr>
      </w:pPr>
      <w:r w:rsidRPr="00CD3D9C">
        <w:rPr>
          <w:b/>
          <w:bCs/>
          <w:color w:val="000000" w:themeColor="text1"/>
          <w:szCs w:val="20"/>
        </w:rPr>
        <w:t>3</w:t>
      </w:r>
      <w:r w:rsidR="00D320F8" w:rsidRPr="00CD3D9C">
        <w:rPr>
          <w:b/>
          <w:bCs/>
          <w:color w:val="000000" w:themeColor="text1"/>
          <w:szCs w:val="20"/>
        </w:rPr>
        <w:t>.3 Accountability, financial management, and public disclosure</w:t>
      </w:r>
    </w:p>
    <w:p w14:paraId="75AE7ACD" w14:textId="77777777" w:rsidR="00D320F8" w:rsidRPr="00CD3D9C" w:rsidRDefault="00D320F8" w:rsidP="00CB459B">
      <w:pPr>
        <w:jc w:val="both"/>
        <w:rPr>
          <w:szCs w:val="20"/>
        </w:rPr>
      </w:pPr>
    </w:p>
    <w:p w14:paraId="7FCE5EAC" w14:textId="3A25BA8B" w:rsidR="00CB459B" w:rsidRPr="00CD3D9C" w:rsidRDefault="00CB459B" w:rsidP="00F05958">
      <w:pPr>
        <w:autoSpaceDE w:val="0"/>
        <w:autoSpaceDN w:val="0"/>
        <w:adjustRightInd w:val="0"/>
        <w:rPr>
          <w:rFonts w:eastAsia="DejaVuSans" w:cs="DejaVuSans"/>
          <w:color w:val="000000"/>
          <w:szCs w:val="20"/>
        </w:rPr>
      </w:pPr>
      <w:r w:rsidRPr="00CD3D9C">
        <w:rPr>
          <w:rFonts w:eastAsia="DejaVuSans" w:cs="DejaVuSans"/>
          <w:color w:val="000000"/>
          <w:szCs w:val="20"/>
        </w:rPr>
        <w:t>The Joint Programme will be using a pass-through fund management modality where UNDP Multi-Partner Trust Fund Office will act as the Administrative Agent (AA) under which the funds will be channeled for the Joint Programme through the AA. Each Participating UN Organization receiving funds through the pass-through has signed a standard Memorandum of Understanding with the AA.</w:t>
      </w:r>
    </w:p>
    <w:p w14:paraId="0FDB3004" w14:textId="77777777" w:rsidR="00CB459B" w:rsidRPr="00CD3D9C" w:rsidRDefault="00CB459B" w:rsidP="00F05958">
      <w:pPr>
        <w:rPr>
          <w:szCs w:val="20"/>
        </w:rPr>
      </w:pPr>
    </w:p>
    <w:p w14:paraId="7616EC4C" w14:textId="2B12EB57" w:rsidR="00D320F8" w:rsidRPr="00CD3D9C" w:rsidRDefault="00D320F8" w:rsidP="00F05958">
      <w:pPr>
        <w:rPr>
          <w:szCs w:val="20"/>
        </w:rPr>
      </w:pPr>
      <w:r w:rsidRPr="00CD3D9C">
        <w:rPr>
          <w:szCs w:val="20"/>
        </w:rPr>
        <w:t xml:space="preserve">Each Participating UN Organization (PUNO) shall assume full programmatic and financial accountability for the funds disbursed to it by the Administrative Agent of the Joint SDG Fund (Multi-Partner Trust Fund Office). Such funds will be administered by each UN Agency, Fund, and Programme in accordance with its own regulations, rules, directives and procedures. Each PUNO shall establish a separate ledger account for the receipt and administration of the funds disbursed to it by the Administrative Agent.  </w:t>
      </w:r>
    </w:p>
    <w:p w14:paraId="47A23B01" w14:textId="77777777" w:rsidR="00D320F8" w:rsidRPr="00CD3D9C" w:rsidRDefault="00D320F8" w:rsidP="00F05958">
      <w:pPr>
        <w:rPr>
          <w:szCs w:val="20"/>
        </w:rPr>
      </w:pPr>
    </w:p>
    <w:p w14:paraId="25E0D221" w14:textId="0DA57080" w:rsidR="00D320F8" w:rsidRPr="00CD3D9C" w:rsidRDefault="00D320F8" w:rsidP="00F05958">
      <w:pPr>
        <w:rPr>
          <w:szCs w:val="20"/>
        </w:rPr>
      </w:pPr>
      <w:r w:rsidRPr="00CD3D9C">
        <w:rPr>
          <w:szCs w:val="20"/>
        </w:rPr>
        <w:t>Indirect costs of the Participating Organizations recovered through programme support costs will be 7%. All other costs incurred by each PUNO in carrying out the activities for which it is responsible under the Fund will be recovered as direct costs.</w:t>
      </w:r>
    </w:p>
    <w:p w14:paraId="1ED98491" w14:textId="76E695AD" w:rsidR="00622A47" w:rsidRPr="00CD3D9C" w:rsidRDefault="00622A47" w:rsidP="00F05958">
      <w:pPr>
        <w:rPr>
          <w:szCs w:val="20"/>
        </w:rPr>
      </w:pPr>
    </w:p>
    <w:p w14:paraId="4AF0D872" w14:textId="77777777" w:rsidR="00F05958" w:rsidRDefault="00622A47" w:rsidP="00D320F8">
      <w:pPr>
        <w:rPr>
          <w:szCs w:val="20"/>
        </w:rPr>
      </w:pPr>
      <w:r w:rsidRPr="00CD3D9C">
        <w:rPr>
          <w:szCs w:val="20"/>
        </w:rPr>
        <w:t xml:space="preserve">Funding by the Joint SDG Fund will be provided on annual basis, upon successful performance of the joint programme. </w:t>
      </w:r>
    </w:p>
    <w:p w14:paraId="00DF163E" w14:textId="37441BF2" w:rsidR="00D320F8" w:rsidRPr="00F05958" w:rsidRDefault="00D320F8" w:rsidP="00F05958">
      <w:pPr>
        <w:rPr>
          <w:szCs w:val="20"/>
        </w:rPr>
      </w:pPr>
      <w:r w:rsidRPr="00CD3D9C">
        <w:rPr>
          <w:iCs/>
          <w:color w:val="000000" w:themeColor="text1"/>
          <w:szCs w:val="20"/>
        </w:rPr>
        <w:t>Procedures on financial transfers, extensions, financial and operational closure, and related administrative issues are stipulated in the Operational Guidance of the Joint SDG Fund.</w:t>
      </w:r>
    </w:p>
    <w:p w14:paraId="78DE0F57" w14:textId="79FF7E01" w:rsidR="0023654A" w:rsidRPr="00CD3D9C" w:rsidRDefault="0023654A" w:rsidP="00F05958">
      <w:pPr>
        <w:rPr>
          <w:iCs/>
          <w:color w:val="000000" w:themeColor="text1"/>
          <w:szCs w:val="20"/>
        </w:rPr>
      </w:pPr>
    </w:p>
    <w:p w14:paraId="5991E0E0" w14:textId="79F0B499" w:rsidR="0023654A" w:rsidRPr="00CD3D9C" w:rsidRDefault="0023654A" w:rsidP="00F05958">
      <w:pPr>
        <w:rPr>
          <w:iCs/>
          <w:color w:val="000000" w:themeColor="text1"/>
          <w:szCs w:val="20"/>
        </w:rPr>
      </w:pPr>
      <w:r w:rsidRPr="00CD3D9C">
        <w:rPr>
          <w:szCs w:val="20"/>
        </w:rPr>
        <w:lastRenderedPageBreak/>
        <w:t>PUNOs and partners must comply with Joint SDG Fund brand guidelines, which includes information on donor visibility requirements.</w:t>
      </w:r>
    </w:p>
    <w:p w14:paraId="2CEDE6B3" w14:textId="77777777" w:rsidR="00D320F8" w:rsidRPr="00CD3D9C" w:rsidRDefault="00D320F8" w:rsidP="00F05958">
      <w:pPr>
        <w:rPr>
          <w:szCs w:val="20"/>
        </w:rPr>
      </w:pPr>
    </w:p>
    <w:p w14:paraId="7702CC63" w14:textId="7C0A5C90" w:rsidR="00D320F8" w:rsidRPr="00CD3D9C" w:rsidRDefault="00D320F8" w:rsidP="00F05958">
      <w:pPr>
        <w:rPr>
          <w:szCs w:val="20"/>
        </w:rPr>
      </w:pPr>
      <w:r w:rsidRPr="00CD3D9C">
        <w:rPr>
          <w:rFonts w:cs="Calibri"/>
          <w:szCs w:val="20"/>
        </w:rPr>
        <w:t xml:space="preserve">Each PUNO will take appropriate measures to publicize the Joint SDG Fund and give due credit to the other PUNOs. All related publicity material, official notices, reports and publications, provided to the press or Fund beneficiaries, will acknowledge the role of the host Government, donors, PUNOs, the Administrative Agent, and any other relevant entities. In particular, the Administrative Agent will include and ensure due recognition of the role of each Participating Organization and partners in all external communications related to the Joint SDG Fund. </w:t>
      </w:r>
    </w:p>
    <w:p w14:paraId="4167F743" w14:textId="4D0024C5" w:rsidR="00D320F8" w:rsidRPr="00CD3D9C" w:rsidRDefault="00D320F8" w:rsidP="00D320F8">
      <w:pPr>
        <w:rPr>
          <w:iCs/>
          <w:color w:val="C45911" w:themeColor="accent2" w:themeShade="BF"/>
          <w:szCs w:val="20"/>
        </w:rPr>
      </w:pPr>
    </w:p>
    <w:p w14:paraId="198F67B8" w14:textId="2D8AC2A1" w:rsidR="00E20873" w:rsidRPr="00CD3D9C" w:rsidRDefault="00E20873" w:rsidP="00D320F8">
      <w:pPr>
        <w:rPr>
          <w:iCs/>
          <w:color w:val="C45911" w:themeColor="accent2" w:themeShade="BF"/>
          <w:szCs w:val="20"/>
        </w:rPr>
      </w:pPr>
    </w:p>
    <w:p w14:paraId="11A7A902" w14:textId="7007B6F7" w:rsidR="00F008A2" w:rsidRPr="00CD3D9C" w:rsidRDefault="00A81385" w:rsidP="00F008A2">
      <w:pPr>
        <w:rPr>
          <w:b/>
          <w:bCs/>
          <w:color w:val="000000" w:themeColor="text1"/>
          <w:szCs w:val="20"/>
        </w:rPr>
      </w:pPr>
      <w:r w:rsidRPr="00CD3D9C">
        <w:rPr>
          <w:b/>
          <w:bCs/>
          <w:color w:val="000000" w:themeColor="text1"/>
          <w:szCs w:val="20"/>
        </w:rPr>
        <w:t>3</w:t>
      </w:r>
      <w:r w:rsidR="00F008A2" w:rsidRPr="00CD3D9C">
        <w:rPr>
          <w:b/>
          <w:bCs/>
          <w:color w:val="000000" w:themeColor="text1"/>
          <w:szCs w:val="20"/>
        </w:rPr>
        <w:t>.4 Legal context</w:t>
      </w:r>
    </w:p>
    <w:p w14:paraId="1093BD5D" w14:textId="0ED44539" w:rsidR="00F008A2" w:rsidRPr="00CD3D9C" w:rsidRDefault="00F008A2" w:rsidP="00C12F4D">
      <w:pPr>
        <w:jc w:val="both"/>
        <w:rPr>
          <w:i/>
          <w:iCs/>
          <w:color w:val="C45911" w:themeColor="accent2" w:themeShade="BF"/>
          <w:szCs w:val="20"/>
        </w:rPr>
      </w:pPr>
    </w:p>
    <w:p w14:paraId="7673CE44" w14:textId="77777777" w:rsidR="00713EE2" w:rsidRPr="00CD3D9C" w:rsidRDefault="00713EE2" w:rsidP="001134F6">
      <w:pPr>
        <w:rPr>
          <w:color w:val="000000" w:themeColor="text1"/>
          <w:szCs w:val="20"/>
        </w:rPr>
      </w:pPr>
    </w:p>
    <w:p w14:paraId="09DD181A" w14:textId="2A948823" w:rsidR="003741E6" w:rsidRPr="00F05958" w:rsidRDefault="003741E6" w:rsidP="003741E6">
      <w:pPr>
        <w:ind w:left="720"/>
        <w:rPr>
          <w:b/>
          <w:bCs/>
        </w:rPr>
      </w:pPr>
      <w:r w:rsidRPr="00F05958">
        <w:rPr>
          <w:b/>
          <w:bCs/>
        </w:rPr>
        <w:t>Agency Name: UNDP</w:t>
      </w:r>
    </w:p>
    <w:p w14:paraId="01F2508D" w14:textId="5CD4FE80" w:rsidR="003741E6" w:rsidRPr="003741E6" w:rsidRDefault="003741E6" w:rsidP="003741E6">
      <w:pPr>
        <w:ind w:left="720"/>
      </w:pPr>
      <w:r w:rsidRPr="003741E6">
        <w:t>Agreement: Standard Basic Framework Agreement/Standard Basic Assistance Agreement</w:t>
      </w:r>
    </w:p>
    <w:p w14:paraId="4808E00D" w14:textId="2BC221FF" w:rsidR="003741E6" w:rsidRPr="003741E6" w:rsidRDefault="003741E6" w:rsidP="003741E6">
      <w:pPr>
        <w:ind w:left="720"/>
      </w:pPr>
      <w:r w:rsidRPr="003741E6">
        <w:t>Date the agreement was signed: 25 January 1978</w:t>
      </w:r>
    </w:p>
    <w:p w14:paraId="2EF029C3" w14:textId="77777777" w:rsidR="001311A1" w:rsidRPr="003741E6" w:rsidRDefault="001311A1" w:rsidP="001134F6"/>
    <w:p w14:paraId="2186AE72" w14:textId="77777777" w:rsidR="00AB7967" w:rsidRPr="00F05958" w:rsidRDefault="00AB7967" w:rsidP="00AB7967">
      <w:pPr>
        <w:ind w:left="720"/>
        <w:jc w:val="both"/>
        <w:rPr>
          <w:rFonts w:eastAsiaTheme="minorHAnsi"/>
          <w:b/>
          <w:bCs/>
          <w:szCs w:val="20"/>
        </w:rPr>
      </w:pPr>
      <w:r w:rsidRPr="00F05958">
        <w:rPr>
          <w:b/>
          <w:bCs/>
        </w:rPr>
        <w:t xml:space="preserve">Agency name: UNICEF </w:t>
      </w:r>
    </w:p>
    <w:p w14:paraId="46DEFF44" w14:textId="77777777" w:rsidR="00AB7967" w:rsidRPr="00B06AB0" w:rsidRDefault="00AB7967" w:rsidP="00AB7967">
      <w:pPr>
        <w:ind w:left="720"/>
        <w:jc w:val="both"/>
        <w:rPr>
          <w:rFonts w:ascii="Calibri" w:hAnsi="Calibri"/>
          <w:sz w:val="22"/>
        </w:rPr>
      </w:pPr>
      <w:r w:rsidRPr="00B06AB0">
        <w:t xml:space="preserve">Agreement title: BASIC COOPERATION AGREEMENT BETWEEN THE UNITED NATIONS CHILDRENS FUND AND THE GOVERNMENT OF MALDIVES </w:t>
      </w:r>
    </w:p>
    <w:p w14:paraId="73F3A1DA" w14:textId="77777777" w:rsidR="00AB7967" w:rsidRPr="00B06AB0" w:rsidRDefault="00AB7967" w:rsidP="00AB7967">
      <w:pPr>
        <w:ind w:left="720"/>
        <w:jc w:val="both"/>
      </w:pPr>
      <w:r w:rsidRPr="00B06AB0">
        <w:t>Agreement date: 19</w:t>
      </w:r>
      <w:r w:rsidRPr="00B06AB0">
        <w:rPr>
          <w:vertAlign w:val="superscript"/>
        </w:rPr>
        <w:t>TH</w:t>
      </w:r>
      <w:r w:rsidRPr="00B06AB0">
        <w:t xml:space="preserve"> APRIL 1994</w:t>
      </w:r>
    </w:p>
    <w:p w14:paraId="134C4DE2" w14:textId="77777777" w:rsidR="00F05958" w:rsidRDefault="00F05958" w:rsidP="006A51FB">
      <w:pPr>
        <w:rPr>
          <w:b/>
          <w:caps/>
          <w:color w:val="0070C0"/>
          <w:szCs w:val="20"/>
        </w:rPr>
      </w:pPr>
    </w:p>
    <w:p w14:paraId="52F2F5B2" w14:textId="3B35B326" w:rsidR="006A51FB" w:rsidRPr="00F05958" w:rsidRDefault="006A51FB" w:rsidP="00F05958">
      <w:pPr>
        <w:ind w:firstLine="720"/>
        <w:rPr>
          <w:rFonts w:eastAsiaTheme="minorHAnsi"/>
          <w:b/>
          <w:bCs/>
        </w:rPr>
      </w:pPr>
      <w:r w:rsidRPr="00F05958">
        <w:rPr>
          <w:b/>
          <w:bCs/>
        </w:rPr>
        <w:t xml:space="preserve">Agency name: United Nations Population Fund </w:t>
      </w:r>
      <w:r w:rsidR="002E1BEE">
        <w:rPr>
          <w:b/>
          <w:bCs/>
        </w:rPr>
        <w:t>(</w:t>
      </w:r>
      <w:r w:rsidRPr="00F05958">
        <w:rPr>
          <w:b/>
          <w:bCs/>
        </w:rPr>
        <w:t>UNFP</w:t>
      </w:r>
      <w:r w:rsidR="002E1BEE">
        <w:rPr>
          <w:b/>
          <w:bCs/>
        </w:rPr>
        <w:t>A)</w:t>
      </w:r>
    </w:p>
    <w:p w14:paraId="0A61EF9A" w14:textId="77777777" w:rsidR="002E1BEE" w:rsidRDefault="006A51FB" w:rsidP="002E1BEE">
      <w:pPr>
        <w:ind w:left="720"/>
      </w:pPr>
      <w:r w:rsidRPr="00B06AB0">
        <w:t>Agreement title:  Exchange of letters constituting an agreement between the Government of the Republic of Maldives ("the Government") and the United Nations Population Fund ("UNFPA") on the application mutatis mutandis of the Basic Assistance Agreement between the Government and the United Nations Development Programme ("UNDP"), signed on 25 January 1978, to the activities and personnel of UNFPA in the Republic of Maldives</w:t>
      </w:r>
    </w:p>
    <w:p w14:paraId="2475A9D6" w14:textId="5445873C" w:rsidR="006A51FB" w:rsidRPr="00B06AB0" w:rsidRDefault="006A51FB" w:rsidP="002E1BEE">
      <w:pPr>
        <w:ind w:left="720"/>
      </w:pPr>
      <w:r w:rsidRPr="00B06AB0">
        <w:t>Agreement date:</w:t>
      </w:r>
      <w:r w:rsidR="00BF19CA">
        <w:t>7 April 2014 and 4 May 2014 respectively.</w:t>
      </w:r>
    </w:p>
    <w:p w14:paraId="3F9853D9" w14:textId="77777777" w:rsidR="002B32FD" w:rsidRPr="002B32FD" w:rsidRDefault="002B32FD" w:rsidP="002B32FD">
      <w:pPr>
        <w:rPr>
          <w:szCs w:val="20"/>
        </w:rPr>
      </w:pPr>
    </w:p>
    <w:p w14:paraId="4BBEB21A" w14:textId="77777777" w:rsidR="002B32FD" w:rsidRPr="00F05958" w:rsidRDefault="002B32FD" w:rsidP="00F05958">
      <w:pPr>
        <w:ind w:firstLine="720"/>
        <w:rPr>
          <w:rFonts w:eastAsiaTheme="minorHAnsi"/>
          <w:b/>
          <w:bCs/>
        </w:rPr>
      </w:pPr>
      <w:r w:rsidRPr="00F05958">
        <w:rPr>
          <w:b/>
          <w:bCs/>
        </w:rPr>
        <w:t>Agency name: World Health Organization</w:t>
      </w:r>
    </w:p>
    <w:p w14:paraId="6DC37652" w14:textId="77777777" w:rsidR="002B32FD" w:rsidRPr="002B32FD" w:rsidRDefault="002B32FD" w:rsidP="00F05958">
      <w:pPr>
        <w:ind w:left="720"/>
      </w:pPr>
      <w:r w:rsidRPr="002B32FD">
        <w:t>Agreement title: Basic agreement between the World Health Organization and the Government of the Maldive Islands</w:t>
      </w:r>
    </w:p>
    <w:p w14:paraId="7E9F10AF" w14:textId="77777777" w:rsidR="002B32FD" w:rsidRPr="002B32FD" w:rsidRDefault="002B32FD" w:rsidP="00F05958">
      <w:pPr>
        <w:ind w:firstLine="720"/>
      </w:pPr>
      <w:r w:rsidRPr="002B32FD">
        <w:t>Agreement date: 15/5/1966</w:t>
      </w:r>
    </w:p>
    <w:p w14:paraId="04CF87AE" w14:textId="77777777" w:rsidR="002B32FD" w:rsidRDefault="002B32FD" w:rsidP="002B32FD">
      <w:pPr>
        <w:ind w:firstLine="720"/>
      </w:pPr>
    </w:p>
    <w:p w14:paraId="0E447FC9" w14:textId="77777777" w:rsidR="002B32FD" w:rsidRDefault="002B32FD" w:rsidP="002B32FD"/>
    <w:p w14:paraId="4D61EA1E" w14:textId="77777777" w:rsidR="00D9623E" w:rsidRDefault="00D9623E" w:rsidP="0082423E">
      <w:pPr>
        <w:rPr>
          <w:szCs w:val="20"/>
        </w:rPr>
      </w:pPr>
    </w:p>
    <w:p w14:paraId="6B2A51DF" w14:textId="77777777" w:rsidR="0082423E" w:rsidRPr="0082423E" w:rsidRDefault="0082423E" w:rsidP="0082423E">
      <w:pPr>
        <w:rPr>
          <w:szCs w:val="20"/>
        </w:rPr>
      </w:pPr>
    </w:p>
    <w:p w14:paraId="2C794EBB" w14:textId="77777777" w:rsidR="0082423E" w:rsidRPr="0082423E" w:rsidRDefault="0082423E" w:rsidP="0082423E">
      <w:pPr>
        <w:rPr>
          <w:szCs w:val="20"/>
        </w:rPr>
      </w:pPr>
    </w:p>
    <w:p w14:paraId="3422F36D" w14:textId="77777777" w:rsidR="0082423E" w:rsidRPr="0082423E" w:rsidRDefault="0082423E" w:rsidP="0082423E">
      <w:pPr>
        <w:rPr>
          <w:szCs w:val="20"/>
        </w:rPr>
      </w:pPr>
    </w:p>
    <w:p w14:paraId="4F6A87D2" w14:textId="77777777" w:rsidR="0082423E" w:rsidRPr="0082423E" w:rsidRDefault="0082423E" w:rsidP="0082423E">
      <w:pPr>
        <w:rPr>
          <w:szCs w:val="20"/>
        </w:rPr>
      </w:pPr>
    </w:p>
    <w:p w14:paraId="4A05115F" w14:textId="77777777" w:rsidR="0082423E" w:rsidRPr="0082423E" w:rsidRDefault="0082423E" w:rsidP="0082423E">
      <w:pPr>
        <w:rPr>
          <w:szCs w:val="20"/>
        </w:rPr>
      </w:pPr>
    </w:p>
    <w:p w14:paraId="0596F008" w14:textId="55FDEB7A" w:rsidR="0082423E" w:rsidRDefault="0082423E" w:rsidP="0082423E">
      <w:pPr>
        <w:tabs>
          <w:tab w:val="left" w:pos="5830"/>
        </w:tabs>
        <w:rPr>
          <w:szCs w:val="20"/>
        </w:rPr>
      </w:pPr>
      <w:r>
        <w:rPr>
          <w:szCs w:val="20"/>
        </w:rPr>
        <w:tab/>
      </w:r>
    </w:p>
    <w:p w14:paraId="7487B54C" w14:textId="50011E8D" w:rsidR="0082423E" w:rsidRPr="00C87470" w:rsidRDefault="0082423E" w:rsidP="00244609">
      <w:pPr>
        <w:jc w:val="center"/>
        <w:rPr>
          <w:szCs w:val="20"/>
        </w:rPr>
        <w:sectPr w:rsidR="0082423E" w:rsidRPr="00C87470" w:rsidSect="000C6916">
          <w:headerReference w:type="default" r:id="rId60"/>
          <w:footerReference w:type="default" r:id="rId61"/>
          <w:pgSz w:w="12240" w:h="15840"/>
          <w:pgMar w:top="1440" w:right="1440" w:bottom="1440" w:left="1440" w:header="720" w:footer="180" w:gutter="0"/>
          <w:cols w:space="720"/>
          <w:docGrid w:linePitch="360"/>
        </w:sectPr>
      </w:pPr>
      <w:r>
        <w:rPr>
          <w:szCs w:val="20"/>
        </w:rPr>
        <w:tab/>
      </w:r>
    </w:p>
    <w:p w14:paraId="756948F4" w14:textId="3C0FA415" w:rsidR="00ED18C9" w:rsidRPr="00CD3D9C" w:rsidRDefault="00081CE7" w:rsidP="001134F6">
      <w:pPr>
        <w:jc w:val="center"/>
        <w:rPr>
          <w:b/>
          <w:caps/>
          <w:color w:val="0070C0"/>
          <w:szCs w:val="20"/>
        </w:rPr>
      </w:pPr>
      <w:bookmarkStart w:id="36" w:name="_Hlk16072088"/>
      <w:r w:rsidRPr="00CD3D9C">
        <w:rPr>
          <w:b/>
          <w:caps/>
          <w:color w:val="0070C0"/>
          <w:szCs w:val="20"/>
        </w:rPr>
        <w:lastRenderedPageBreak/>
        <w:t>D</w:t>
      </w:r>
      <w:r w:rsidR="00C54169" w:rsidRPr="00CD3D9C">
        <w:rPr>
          <w:b/>
          <w:caps/>
          <w:color w:val="0070C0"/>
          <w:szCs w:val="20"/>
        </w:rPr>
        <w:t xml:space="preserve">. </w:t>
      </w:r>
      <w:r w:rsidR="00ED18C9" w:rsidRPr="00CD3D9C">
        <w:rPr>
          <w:b/>
          <w:caps/>
          <w:color w:val="0070C0"/>
          <w:szCs w:val="20"/>
        </w:rPr>
        <w:t>ANNEXES</w:t>
      </w:r>
    </w:p>
    <w:p w14:paraId="6A5BE5CB" w14:textId="1CF17384" w:rsidR="00ED18C9" w:rsidRPr="00CD3D9C" w:rsidRDefault="00ED18C9" w:rsidP="001134F6">
      <w:pPr>
        <w:rPr>
          <w:rFonts w:eastAsia="Times New Roman"/>
          <w:color w:val="000000" w:themeColor="text1"/>
          <w:szCs w:val="20"/>
          <w:lang w:eastAsia="en-GB"/>
        </w:rPr>
      </w:pPr>
    </w:p>
    <w:p w14:paraId="75E9572F" w14:textId="77777777" w:rsidR="001311A1" w:rsidRPr="00CD3D9C" w:rsidRDefault="001311A1" w:rsidP="001134F6">
      <w:pPr>
        <w:rPr>
          <w:rFonts w:eastAsia="Times New Roman"/>
          <w:color w:val="000000" w:themeColor="text1"/>
          <w:szCs w:val="20"/>
          <w:lang w:eastAsia="en-GB"/>
        </w:rPr>
      </w:pPr>
    </w:p>
    <w:p w14:paraId="68550FF0" w14:textId="6040F2F8" w:rsidR="009A4EA4" w:rsidRPr="00CD3D9C" w:rsidRDefault="00E207B7" w:rsidP="001134F6">
      <w:pPr>
        <w:rPr>
          <w:rFonts w:eastAsia="Times New Roman"/>
          <w:b/>
          <w:color w:val="0070C0"/>
          <w:szCs w:val="20"/>
          <w:lang w:eastAsia="en-GB"/>
        </w:rPr>
      </w:pPr>
      <w:r w:rsidRPr="00CD3D9C">
        <w:rPr>
          <w:rFonts w:eastAsia="Times New Roman"/>
          <w:b/>
          <w:color w:val="0070C0"/>
          <w:szCs w:val="20"/>
          <w:lang w:eastAsia="en-GB"/>
        </w:rPr>
        <w:t xml:space="preserve">Annex </w:t>
      </w:r>
      <w:r w:rsidR="00081CE7" w:rsidRPr="00CD3D9C">
        <w:rPr>
          <w:rFonts w:eastAsia="Times New Roman"/>
          <w:b/>
          <w:color w:val="0070C0"/>
          <w:szCs w:val="20"/>
          <w:lang w:eastAsia="en-GB"/>
        </w:rPr>
        <w:t>1</w:t>
      </w:r>
      <w:r w:rsidR="009A4EA4" w:rsidRPr="00CD3D9C">
        <w:rPr>
          <w:rFonts w:eastAsia="Times New Roman"/>
          <w:b/>
          <w:color w:val="0070C0"/>
          <w:szCs w:val="20"/>
          <w:lang w:eastAsia="en-GB"/>
        </w:rPr>
        <w:t>. List of related initiatives</w:t>
      </w:r>
    </w:p>
    <w:p w14:paraId="280EE213" w14:textId="77777777" w:rsidR="00244224" w:rsidRPr="00CD3D9C" w:rsidRDefault="00244224" w:rsidP="001134F6">
      <w:pPr>
        <w:rPr>
          <w:rFonts w:eastAsia="Times New Roman"/>
          <w:color w:val="000000" w:themeColor="text1"/>
          <w:szCs w:val="20"/>
          <w:lang w:eastAsia="en-GB"/>
        </w:rPr>
      </w:pPr>
    </w:p>
    <w:tbl>
      <w:tblPr>
        <w:tblStyle w:val="TableGrid"/>
        <w:tblW w:w="14125" w:type="dxa"/>
        <w:jc w:val="center"/>
        <w:tblLayout w:type="fixed"/>
        <w:tblLook w:val="04A0" w:firstRow="1" w:lastRow="0" w:firstColumn="1" w:lastColumn="0" w:noHBand="0" w:noVBand="1"/>
      </w:tblPr>
      <w:tblGrid>
        <w:gridCol w:w="2245"/>
        <w:gridCol w:w="3330"/>
        <w:gridCol w:w="1710"/>
        <w:gridCol w:w="1530"/>
        <w:gridCol w:w="1710"/>
        <w:gridCol w:w="1710"/>
        <w:gridCol w:w="1890"/>
      </w:tblGrid>
      <w:tr w:rsidR="00786DD5" w:rsidRPr="00FB4EF5" w14:paraId="3AF98E26" w14:textId="77777777" w:rsidTr="00786DD5">
        <w:trPr>
          <w:jc w:val="center"/>
        </w:trPr>
        <w:tc>
          <w:tcPr>
            <w:tcW w:w="2245" w:type="dxa"/>
            <w:shd w:val="clear" w:color="auto" w:fill="BDD6EE" w:themeFill="accent5" w:themeFillTint="66"/>
            <w:vAlign w:val="center"/>
          </w:tcPr>
          <w:p w14:paraId="60D5FA15" w14:textId="77777777" w:rsidR="00786DD5" w:rsidRPr="00FB4EF5" w:rsidRDefault="00786DD5" w:rsidP="006C2A43">
            <w:pPr>
              <w:jc w:val="center"/>
              <w:rPr>
                <w:rFonts w:eastAsia="Times New Roman"/>
                <w:b/>
                <w:bCs/>
                <w:color w:val="000000" w:themeColor="text1"/>
                <w:szCs w:val="20"/>
                <w:lang w:eastAsia="en-GB"/>
              </w:rPr>
            </w:pPr>
            <w:r w:rsidRPr="00FB4EF5">
              <w:rPr>
                <w:rFonts w:eastAsia="Times New Roman"/>
                <w:b/>
                <w:bCs/>
                <w:color w:val="000000" w:themeColor="text1"/>
                <w:szCs w:val="20"/>
                <w:lang w:eastAsia="en-GB"/>
              </w:rPr>
              <w:t>Name of initiative/project</w:t>
            </w:r>
          </w:p>
        </w:tc>
        <w:tc>
          <w:tcPr>
            <w:tcW w:w="3330" w:type="dxa"/>
            <w:shd w:val="clear" w:color="auto" w:fill="BDD6EE" w:themeFill="accent5" w:themeFillTint="66"/>
            <w:vAlign w:val="center"/>
          </w:tcPr>
          <w:p w14:paraId="0BE7E8D9" w14:textId="77777777" w:rsidR="00786DD5" w:rsidRPr="00FB4EF5" w:rsidRDefault="00786DD5" w:rsidP="006C2A43">
            <w:pPr>
              <w:jc w:val="center"/>
              <w:rPr>
                <w:rFonts w:eastAsia="Times New Roman"/>
                <w:b/>
                <w:bCs/>
                <w:color w:val="000000" w:themeColor="text1"/>
                <w:szCs w:val="20"/>
                <w:lang w:eastAsia="en-GB"/>
              </w:rPr>
            </w:pPr>
            <w:r w:rsidRPr="00FB4EF5">
              <w:rPr>
                <w:rFonts w:eastAsia="Times New Roman"/>
                <w:b/>
                <w:bCs/>
                <w:color w:val="000000" w:themeColor="text1"/>
                <w:szCs w:val="20"/>
                <w:lang w:eastAsia="en-GB"/>
              </w:rPr>
              <w:t>Key expected results</w:t>
            </w:r>
          </w:p>
        </w:tc>
        <w:tc>
          <w:tcPr>
            <w:tcW w:w="1710" w:type="dxa"/>
            <w:shd w:val="clear" w:color="auto" w:fill="BDD6EE" w:themeFill="accent5" w:themeFillTint="66"/>
            <w:vAlign w:val="center"/>
          </w:tcPr>
          <w:p w14:paraId="5ADC91EA" w14:textId="77777777" w:rsidR="00786DD5" w:rsidRPr="00FB4EF5" w:rsidRDefault="00786DD5" w:rsidP="006C2A43">
            <w:pPr>
              <w:jc w:val="center"/>
              <w:rPr>
                <w:rFonts w:eastAsia="Times New Roman"/>
                <w:b/>
                <w:bCs/>
                <w:color w:val="000000" w:themeColor="text1"/>
                <w:szCs w:val="20"/>
                <w:lang w:eastAsia="en-GB"/>
              </w:rPr>
            </w:pPr>
            <w:r w:rsidRPr="00FB4EF5">
              <w:rPr>
                <w:rFonts w:eastAsia="Times New Roman"/>
                <w:b/>
                <w:bCs/>
                <w:color w:val="000000" w:themeColor="text1"/>
                <w:szCs w:val="20"/>
                <w:lang w:eastAsia="en-GB"/>
              </w:rPr>
              <w:t>Links to the joint programme</w:t>
            </w:r>
          </w:p>
        </w:tc>
        <w:tc>
          <w:tcPr>
            <w:tcW w:w="1530" w:type="dxa"/>
            <w:shd w:val="clear" w:color="auto" w:fill="BDD6EE" w:themeFill="accent5" w:themeFillTint="66"/>
            <w:vAlign w:val="center"/>
          </w:tcPr>
          <w:p w14:paraId="5AD6A9FA" w14:textId="77777777" w:rsidR="00786DD5" w:rsidRPr="00FB4EF5" w:rsidRDefault="00786DD5" w:rsidP="006C2A43">
            <w:pPr>
              <w:jc w:val="center"/>
              <w:rPr>
                <w:rFonts w:eastAsia="Times New Roman"/>
                <w:b/>
                <w:bCs/>
                <w:color w:val="000000" w:themeColor="text1"/>
                <w:szCs w:val="20"/>
                <w:lang w:eastAsia="en-GB"/>
              </w:rPr>
            </w:pPr>
            <w:r w:rsidRPr="00FB4EF5">
              <w:rPr>
                <w:rFonts w:eastAsia="Times New Roman"/>
                <w:b/>
                <w:bCs/>
                <w:color w:val="000000" w:themeColor="text1"/>
                <w:szCs w:val="20"/>
                <w:lang w:eastAsia="en-GB"/>
              </w:rPr>
              <w:t>Lead organization</w:t>
            </w:r>
          </w:p>
        </w:tc>
        <w:tc>
          <w:tcPr>
            <w:tcW w:w="1710" w:type="dxa"/>
            <w:shd w:val="clear" w:color="auto" w:fill="BDD6EE" w:themeFill="accent5" w:themeFillTint="66"/>
            <w:vAlign w:val="center"/>
          </w:tcPr>
          <w:p w14:paraId="7843D234" w14:textId="77777777" w:rsidR="00786DD5" w:rsidRPr="00FB4EF5" w:rsidRDefault="00786DD5" w:rsidP="006C2A43">
            <w:pPr>
              <w:jc w:val="center"/>
              <w:rPr>
                <w:rFonts w:eastAsia="Times New Roman"/>
                <w:b/>
                <w:bCs/>
                <w:color w:val="000000" w:themeColor="text1"/>
                <w:szCs w:val="20"/>
                <w:lang w:eastAsia="en-GB"/>
              </w:rPr>
            </w:pPr>
            <w:r w:rsidRPr="00FB4EF5">
              <w:rPr>
                <w:rFonts w:eastAsia="Times New Roman"/>
                <w:b/>
                <w:bCs/>
                <w:color w:val="000000" w:themeColor="text1"/>
                <w:szCs w:val="20"/>
                <w:lang w:eastAsia="en-GB"/>
              </w:rPr>
              <w:t>Other partners</w:t>
            </w:r>
          </w:p>
        </w:tc>
        <w:tc>
          <w:tcPr>
            <w:tcW w:w="1710" w:type="dxa"/>
            <w:shd w:val="clear" w:color="auto" w:fill="BDD6EE" w:themeFill="accent5" w:themeFillTint="66"/>
            <w:vAlign w:val="center"/>
          </w:tcPr>
          <w:p w14:paraId="5CE414CB" w14:textId="77777777" w:rsidR="00786DD5" w:rsidRPr="00FB4EF5" w:rsidRDefault="00786DD5" w:rsidP="006C2A43">
            <w:pPr>
              <w:jc w:val="center"/>
              <w:rPr>
                <w:rFonts w:eastAsia="Times New Roman"/>
                <w:b/>
                <w:bCs/>
                <w:color w:val="000000" w:themeColor="text1"/>
                <w:szCs w:val="20"/>
                <w:lang w:eastAsia="en-GB"/>
              </w:rPr>
            </w:pPr>
            <w:r w:rsidRPr="00FB4EF5">
              <w:rPr>
                <w:rFonts w:eastAsia="Times New Roman"/>
                <w:b/>
                <w:bCs/>
                <w:color w:val="000000" w:themeColor="text1"/>
                <w:szCs w:val="20"/>
                <w:lang w:eastAsia="en-GB"/>
              </w:rPr>
              <w:t>Budget and funding source</w:t>
            </w:r>
          </w:p>
        </w:tc>
        <w:tc>
          <w:tcPr>
            <w:tcW w:w="1890" w:type="dxa"/>
            <w:shd w:val="clear" w:color="auto" w:fill="BDD6EE" w:themeFill="accent5" w:themeFillTint="66"/>
            <w:vAlign w:val="center"/>
          </w:tcPr>
          <w:p w14:paraId="34FE8BFC" w14:textId="77777777" w:rsidR="00786DD5" w:rsidRPr="00FB4EF5" w:rsidRDefault="00786DD5" w:rsidP="006C2A43">
            <w:pPr>
              <w:jc w:val="center"/>
              <w:rPr>
                <w:rFonts w:eastAsia="Times New Roman"/>
                <w:b/>
                <w:bCs/>
                <w:color w:val="000000" w:themeColor="text1"/>
                <w:szCs w:val="20"/>
                <w:lang w:eastAsia="en-GB"/>
              </w:rPr>
            </w:pPr>
            <w:r w:rsidRPr="00FB4EF5">
              <w:rPr>
                <w:rFonts w:eastAsia="Times New Roman"/>
                <w:b/>
                <w:bCs/>
                <w:color w:val="000000" w:themeColor="text1"/>
                <w:szCs w:val="20"/>
                <w:lang w:eastAsia="en-GB"/>
              </w:rPr>
              <w:t>Contract person</w:t>
            </w:r>
          </w:p>
          <w:p w14:paraId="244D0D07" w14:textId="77777777" w:rsidR="00786DD5" w:rsidRPr="00FB4EF5" w:rsidRDefault="00786DD5" w:rsidP="006C2A43">
            <w:pPr>
              <w:jc w:val="center"/>
              <w:rPr>
                <w:rFonts w:eastAsia="Times New Roman"/>
                <w:color w:val="000000" w:themeColor="text1"/>
                <w:szCs w:val="20"/>
                <w:lang w:eastAsia="en-GB"/>
              </w:rPr>
            </w:pPr>
            <w:r w:rsidRPr="00FB4EF5">
              <w:rPr>
                <w:rFonts w:eastAsia="Times New Roman"/>
                <w:color w:val="000000" w:themeColor="text1"/>
                <w:szCs w:val="20"/>
                <w:lang w:eastAsia="en-GB"/>
              </w:rPr>
              <w:t>(name and email)</w:t>
            </w:r>
          </w:p>
        </w:tc>
      </w:tr>
      <w:tr w:rsidR="00786DD5" w:rsidRPr="00FB4EF5" w14:paraId="35C15411" w14:textId="77777777" w:rsidTr="00786DD5">
        <w:trPr>
          <w:jc w:val="center"/>
        </w:trPr>
        <w:tc>
          <w:tcPr>
            <w:tcW w:w="2245" w:type="dxa"/>
            <w:vAlign w:val="center"/>
          </w:tcPr>
          <w:p w14:paraId="12CF2205" w14:textId="77777777" w:rsidR="00786DD5" w:rsidRPr="00FB4EF5" w:rsidRDefault="00786DD5" w:rsidP="006C2A43">
            <w:pPr>
              <w:rPr>
                <w:rFonts w:eastAsia="Times New Roman"/>
                <w:color w:val="000000" w:themeColor="text1"/>
                <w:szCs w:val="20"/>
                <w:lang w:eastAsia="en-GB"/>
              </w:rPr>
            </w:pPr>
            <w:r w:rsidRPr="00FB4EF5">
              <w:rPr>
                <w:rFonts w:eastAsia="Times New Roman"/>
                <w:color w:val="000000" w:themeColor="text1"/>
                <w:szCs w:val="20"/>
                <w:lang w:eastAsia="en-GB"/>
              </w:rPr>
              <w:t xml:space="preserve">Development Finance Assessment and INFF roadmap preparation </w:t>
            </w:r>
          </w:p>
        </w:tc>
        <w:tc>
          <w:tcPr>
            <w:tcW w:w="3330" w:type="dxa"/>
            <w:vAlign w:val="center"/>
          </w:tcPr>
          <w:p w14:paraId="2F58E7F8" w14:textId="77777777" w:rsidR="00786DD5" w:rsidRPr="00FB4EF5" w:rsidRDefault="00786DD5" w:rsidP="006C2A43">
            <w:pPr>
              <w:rPr>
                <w:rFonts w:eastAsia="Times New Roman"/>
                <w:color w:val="000000" w:themeColor="text1"/>
                <w:szCs w:val="20"/>
                <w:lang w:eastAsia="en-GB"/>
              </w:rPr>
            </w:pPr>
            <w:r w:rsidRPr="00FB4EF5">
              <w:rPr>
                <w:rFonts w:eastAsia="Times New Roman"/>
                <w:color w:val="000000" w:themeColor="text1"/>
                <w:szCs w:val="20"/>
                <w:lang w:eastAsia="en-GB"/>
              </w:rPr>
              <w:t>DFA and INFF roadmap</w:t>
            </w:r>
          </w:p>
        </w:tc>
        <w:tc>
          <w:tcPr>
            <w:tcW w:w="1710" w:type="dxa"/>
            <w:vAlign w:val="center"/>
          </w:tcPr>
          <w:p w14:paraId="00C7D9E2" w14:textId="2643BEE7" w:rsidR="00786DD5" w:rsidRPr="00FB4EF5" w:rsidRDefault="00786DD5" w:rsidP="006C2A43">
            <w:pPr>
              <w:rPr>
                <w:rFonts w:eastAsia="Times New Roman"/>
                <w:color w:val="000000" w:themeColor="text1"/>
                <w:szCs w:val="20"/>
                <w:lang w:eastAsia="en-GB"/>
              </w:rPr>
            </w:pPr>
            <w:r w:rsidRPr="00FB4EF5">
              <w:rPr>
                <w:rFonts w:eastAsia="Times New Roman"/>
                <w:color w:val="000000" w:themeColor="text1"/>
                <w:szCs w:val="20"/>
                <w:lang w:eastAsia="en-GB"/>
              </w:rPr>
              <w:t xml:space="preserve">Output 1 .1- </w:t>
            </w:r>
            <w:r w:rsidR="00425C87">
              <w:rPr>
                <w:rFonts w:eastAsia="Times New Roman"/>
                <w:color w:val="000000" w:themeColor="text1"/>
                <w:szCs w:val="20"/>
                <w:lang w:eastAsia="en-GB"/>
              </w:rPr>
              <w:t xml:space="preserve">Rapid stock take of SDG financing </w:t>
            </w:r>
            <w:r w:rsidR="00280041">
              <w:rPr>
                <w:rFonts w:eastAsia="Times New Roman"/>
                <w:color w:val="000000" w:themeColor="text1"/>
                <w:szCs w:val="20"/>
                <w:lang w:eastAsia="en-GB"/>
              </w:rPr>
              <w:t xml:space="preserve">and an overall climate finance needs and gaps identified. </w:t>
            </w:r>
          </w:p>
          <w:p w14:paraId="0DFE5CD7" w14:textId="77777777" w:rsidR="00786DD5" w:rsidRPr="00FB4EF5" w:rsidRDefault="00786DD5" w:rsidP="006C2A43">
            <w:pPr>
              <w:rPr>
                <w:rFonts w:eastAsia="Times New Roman"/>
                <w:color w:val="000000" w:themeColor="text1"/>
                <w:szCs w:val="20"/>
                <w:lang w:eastAsia="en-GB"/>
              </w:rPr>
            </w:pPr>
            <w:r w:rsidRPr="00FB4EF5">
              <w:rPr>
                <w:rFonts w:eastAsia="Times New Roman"/>
                <w:color w:val="000000" w:themeColor="text1"/>
                <w:szCs w:val="20"/>
                <w:lang w:eastAsia="en-GB"/>
              </w:rPr>
              <w:t xml:space="preserve">Output 2.1 and 2.2 and Output 3.1 </w:t>
            </w:r>
          </w:p>
        </w:tc>
        <w:tc>
          <w:tcPr>
            <w:tcW w:w="1530" w:type="dxa"/>
            <w:vAlign w:val="center"/>
          </w:tcPr>
          <w:p w14:paraId="723C5E40" w14:textId="77777777" w:rsidR="00786DD5" w:rsidRPr="00FB4EF5" w:rsidRDefault="00786DD5" w:rsidP="006C2A43">
            <w:pPr>
              <w:rPr>
                <w:rFonts w:eastAsia="Times New Roman"/>
                <w:color w:val="000000" w:themeColor="text1"/>
                <w:szCs w:val="20"/>
                <w:lang w:eastAsia="en-GB"/>
              </w:rPr>
            </w:pPr>
            <w:r w:rsidRPr="00FB4EF5">
              <w:rPr>
                <w:rFonts w:eastAsia="Times New Roman"/>
                <w:color w:val="000000" w:themeColor="text1"/>
                <w:szCs w:val="20"/>
                <w:lang w:eastAsia="en-GB"/>
              </w:rPr>
              <w:t>UNDP</w:t>
            </w:r>
          </w:p>
        </w:tc>
        <w:tc>
          <w:tcPr>
            <w:tcW w:w="1710" w:type="dxa"/>
            <w:vAlign w:val="center"/>
          </w:tcPr>
          <w:p w14:paraId="10F8A0CC" w14:textId="77777777" w:rsidR="00786DD5" w:rsidRPr="00FB4EF5" w:rsidRDefault="00786DD5" w:rsidP="006C2A43">
            <w:pPr>
              <w:rPr>
                <w:rFonts w:eastAsia="Times New Roman"/>
                <w:color w:val="000000" w:themeColor="text1"/>
                <w:szCs w:val="20"/>
                <w:lang w:eastAsia="en-GB"/>
              </w:rPr>
            </w:pPr>
            <w:r w:rsidRPr="00FB4EF5">
              <w:rPr>
                <w:rFonts w:eastAsia="Times New Roman"/>
                <w:color w:val="000000" w:themeColor="text1"/>
                <w:szCs w:val="20"/>
                <w:lang w:eastAsia="en-GB"/>
              </w:rPr>
              <w:t xml:space="preserve">Ministry of Finance, DFA/INFF Oversight Committee partners </w:t>
            </w:r>
          </w:p>
        </w:tc>
        <w:tc>
          <w:tcPr>
            <w:tcW w:w="1710" w:type="dxa"/>
            <w:vAlign w:val="center"/>
          </w:tcPr>
          <w:p w14:paraId="2D3D5E65" w14:textId="2621B956" w:rsidR="00786DD5" w:rsidRPr="00FB4EF5" w:rsidRDefault="006F5C17" w:rsidP="006C2A43">
            <w:pPr>
              <w:rPr>
                <w:rFonts w:eastAsia="Times New Roman"/>
                <w:color w:val="000000" w:themeColor="text1"/>
                <w:szCs w:val="20"/>
                <w:lang w:eastAsia="en-GB"/>
              </w:rPr>
            </w:pPr>
            <w:r>
              <w:rPr>
                <w:rFonts w:eastAsia="Times New Roman"/>
                <w:color w:val="000000" w:themeColor="text1"/>
                <w:szCs w:val="20"/>
                <w:lang w:eastAsia="en-GB"/>
              </w:rPr>
              <w:t xml:space="preserve">USD </w:t>
            </w:r>
            <w:r w:rsidR="00786DD5" w:rsidRPr="00FB4EF5">
              <w:rPr>
                <w:rFonts w:eastAsia="Times New Roman"/>
                <w:color w:val="000000" w:themeColor="text1"/>
                <w:szCs w:val="20"/>
                <w:lang w:eastAsia="en-GB"/>
              </w:rPr>
              <w:t>10,000</w:t>
            </w:r>
          </w:p>
          <w:p w14:paraId="265B0995" w14:textId="77777777" w:rsidR="00786DD5" w:rsidRPr="00FB4EF5" w:rsidRDefault="00786DD5" w:rsidP="006C2A43">
            <w:pPr>
              <w:rPr>
                <w:rFonts w:eastAsia="Times New Roman"/>
                <w:color w:val="000000" w:themeColor="text1"/>
                <w:szCs w:val="20"/>
                <w:lang w:eastAsia="en-GB"/>
              </w:rPr>
            </w:pPr>
            <w:r w:rsidRPr="00FB4EF5">
              <w:rPr>
                <w:rFonts w:eastAsia="Times New Roman"/>
                <w:color w:val="000000" w:themeColor="text1"/>
                <w:szCs w:val="20"/>
                <w:lang w:eastAsia="en-GB"/>
              </w:rPr>
              <w:t xml:space="preserve">UNDP Maldives and UNDP Bangkok Regional Hub </w:t>
            </w:r>
          </w:p>
        </w:tc>
        <w:tc>
          <w:tcPr>
            <w:tcW w:w="1890" w:type="dxa"/>
            <w:vAlign w:val="center"/>
          </w:tcPr>
          <w:p w14:paraId="1C4E20DC" w14:textId="0A7F923A" w:rsidR="00575E1F" w:rsidRDefault="00FE1EAC" w:rsidP="006C2A43">
            <w:pPr>
              <w:rPr>
                <w:rFonts w:eastAsia="Times New Roman"/>
                <w:color w:val="000000" w:themeColor="text1"/>
                <w:szCs w:val="20"/>
                <w:lang w:eastAsia="en-GB"/>
              </w:rPr>
            </w:pPr>
            <w:hyperlink r:id="rId62" w:history="1">
              <w:r w:rsidR="00575E1F" w:rsidRPr="00C739F0">
                <w:rPr>
                  <w:rStyle w:val="Hyperlink"/>
                  <w:rFonts w:eastAsia="Times New Roman"/>
                  <w:szCs w:val="20"/>
                  <w:lang w:eastAsia="en-GB"/>
                </w:rPr>
                <w:t>mohamed.shahudh@undp.org</w:t>
              </w:r>
            </w:hyperlink>
          </w:p>
          <w:p w14:paraId="798A8457" w14:textId="77777777" w:rsidR="00575E1F" w:rsidRDefault="00575E1F" w:rsidP="006C2A43">
            <w:pPr>
              <w:rPr>
                <w:rFonts w:eastAsia="Times New Roman"/>
                <w:color w:val="000000" w:themeColor="text1"/>
                <w:szCs w:val="20"/>
                <w:lang w:eastAsia="en-GB"/>
              </w:rPr>
            </w:pPr>
          </w:p>
          <w:p w14:paraId="0D8B5826" w14:textId="0FFF6CD4" w:rsidR="00786DD5" w:rsidRPr="00FB4EF5" w:rsidRDefault="00786DD5" w:rsidP="006C2A43">
            <w:pPr>
              <w:rPr>
                <w:rFonts w:eastAsia="Times New Roman"/>
                <w:color w:val="000000" w:themeColor="text1"/>
                <w:szCs w:val="20"/>
                <w:lang w:eastAsia="en-GB"/>
              </w:rPr>
            </w:pPr>
          </w:p>
        </w:tc>
      </w:tr>
      <w:tr w:rsidR="00786DD5" w:rsidRPr="00FB4EF5" w14:paraId="0268625C" w14:textId="77777777" w:rsidTr="00786DD5">
        <w:trPr>
          <w:jc w:val="center"/>
        </w:trPr>
        <w:tc>
          <w:tcPr>
            <w:tcW w:w="2245" w:type="dxa"/>
          </w:tcPr>
          <w:p w14:paraId="54C2D4BC" w14:textId="77777777" w:rsidR="00786DD5" w:rsidRPr="00FB4EF5" w:rsidRDefault="00786DD5" w:rsidP="006C2A43">
            <w:pPr>
              <w:rPr>
                <w:rFonts w:eastAsia="Times New Roman"/>
                <w:color w:val="000000" w:themeColor="text1"/>
                <w:szCs w:val="20"/>
                <w:lang w:eastAsia="en-GB"/>
              </w:rPr>
            </w:pPr>
            <w:r w:rsidRPr="009D5EE8">
              <w:t>Support provided to strengthen social services and improve child protection services.</w:t>
            </w:r>
          </w:p>
        </w:tc>
        <w:tc>
          <w:tcPr>
            <w:tcW w:w="3330" w:type="dxa"/>
          </w:tcPr>
          <w:p w14:paraId="516811DA" w14:textId="54E3EBF2" w:rsidR="00786DD5" w:rsidRPr="00FB4EF5" w:rsidRDefault="009D22F7" w:rsidP="006C2A43">
            <w:pPr>
              <w:rPr>
                <w:rFonts w:eastAsia="Times New Roman"/>
                <w:color w:val="000000" w:themeColor="text1"/>
                <w:szCs w:val="20"/>
                <w:lang w:eastAsia="en-GB"/>
              </w:rPr>
            </w:pPr>
            <w:r>
              <w:rPr>
                <w:rFonts w:eastAsia="Times New Roman"/>
                <w:color w:val="000000" w:themeColor="text1"/>
                <w:szCs w:val="20"/>
                <w:lang w:eastAsia="en-GB"/>
              </w:rPr>
              <w:t>Improved social services to protect children from violence and neglect</w:t>
            </w:r>
          </w:p>
        </w:tc>
        <w:tc>
          <w:tcPr>
            <w:tcW w:w="1710" w:type="dxa"/>
          </w:tcPr>
          <w:p w14:paraId="2081C512" w14:textId="77777777" w:rsidR="00786DD5" w:rsidRPr="00FB4EF5" w:rsidRDefault="00786DD5" w:rsidP="006C2A43">
            <w:pPr>
              <w:rPr>
                <w:rFonts w:eastAsia="Times New Roman"/>
                <w:color w:val="000000" w:themeColor="text1"/>
                <w:szCs w:val="20"/>
                <w:lang w:eastAsia="en-GB"/>
              </w:rPr>
            </w:pPr>
            <w:r w:rsidRPr="009D5EE8">
              <w:t>Output 1.2 - Costing of social sector services with a focus on equity and redistribution</w:t>
            </w:r>
          </w:p>
        </w:tc>
        <w:tc>
          <w:tcPr>
            <w:tcW w:w="1530" w:type="dxa"/>
          </w:tcPr>
          <w:p w14:paraId="2D71F418" w14:textId="77777777" w:rsidR="00786DD5" w:rsidRPr="00FB4EF5" w:rsidRDefault="00786DD5" w:rsidP="006C2A43">
            <w:pPr>
              <w:rPr>
                <w:rFonts w:eastAsia="Times New Roman"/>
                <w:color w:val="000000" w:themeColor="text1"/>
                <w:szCs w:val="20"/>
                <w:lang w:eastAsia="en-GB"/>
              </w:rPr>
            </w:pPr>
            <w:r w:rsidRPr="009D5EE8">
              <w:t>UNICEF</w:t>
            </w:r>
          </w:p>
        </w:tc>
        <w:tc>
          <w:tcPr>
            <w:tcW w:w="1710" w:type="dxa"/>
          </w:tcPr>
          <w:p w14:paraId="07AE0B2C" w14:textId="77777777" w:rsidR="00786DD5" w:rsidRPr="00FB4EF5" w:rsidRDefault="00786DD5" w:rsidP="006C2A43">
            <w:pPr>
              <w:rPr>
                <w:rFonts w:eastAsia="Times New Roman"/>
                <w:color w:val="000000" w:themeColor="text1"/>
                <w:szCs w:val="20"/>
                <w:lang w:eastAsia="en-GB"/>
              </w:rPr>
            </w:pPr>
            <w:r w:rsidRPr="009D5EE8">
              <w:t>Ministry of Gender, Family and Social Services</w:t>
            </w:r>
          </w:p>
        </w:tc>
        <w:tc>
          <w:tcPr>
            <w:tcW w:w="1710" w:type="dxa"/>
          </w:tcPr>
          <w:p w14:paraId="3AEF5147" w14:textId="1283248A" w:rsidR="00786DD5" w:rsidRPr="00FB4EF5" w:rsidRDefault="006F5C17" w:rsidP="006C2A43">
            <w:pPr>
              <w:rPr>
                <w:rFonts w:eastAsia="Times New Roman"/>
                <w:color w:val="000000" w:themeColor="text1"/>
                <w:szCs w:val="20"/>
                <w:lang w:eastAsia="en-GB"/>
              </w:rPr>
            </w:pPr>
            <w:r>
              <w:t xml:space="preserve">USD </w:t>
            </w:r>
            <w:r w:rsidR="00786DD5" w:rsidRPr="009D5EE8">
              <w:t>300,000 UNICEF funding</w:t>
            </w:r>
          </w:p>
        </w:tc>
        <w:tc>
          <w:tcPr>
            <w:tcW w:w="1890" w:type="dxa"/>
          </w:tcPr>
          <w:p w14:paraId="0A0DF6C6" w14:textId="54FEAA60" w:rsidR="00786DD5" w:rsidRDefault="00C27BFE" w:rsidP="006C2A43">
            <w:r>
              <w:t>Ibrahim Naseem</w:t>
            </w:r>
          </w:p>
          <w:p w14:paraId="54C0C592" w14:textId="77777777" w:rsidR="00786DD5" w:rsidRPr="00FB4EF5" w:rsidRDefault="00786DD5" w:rsidP="006C2A43">
            <w:pPr>
              <w:rPr>
                <w:rFonts w:eastAsia="Times New Roman"/>
                <w:color w:val="000000" w:themeColor="text1"/>
                <w:szCs w:val="20"/>
                <w:lang w:eastAsia="en-GB"/>
              </w:rPr>
            </w:pPr>
            <w:r w:rsidRPr="00767026">
              <w:rPr>
                <w:rFonts w:eastAsia="Times New Roman"/>
                <w:color w:val="000000" w:themeColor="text1"/>
                <w:szCs w:val="20"/>
                <w:lang w:eastAsia="en-GB"/>
              </w:rPr>
              <w:t>inaseem@unicef.org</w:t>
            </w:r>
          </w:p>
        </w:tc>
      </w:tr>
      <w:tr w:rsidR="00786DD5" w:rsidRPr="00FB4EF5" w14:paraId="21555071" w14:textId="77777777" w:rsidTr="00786DD5">
        <w:trPr>
          <w:jc w:val="center"/>
        </w:trPr>
        <w:tc>
          <w:tcPr>
            <w:tcW w:w="2245" w:type="dxa"/>
            <w:vAlign w:val="center"/>
          </w:tcPr>
          <w:p w14:paraId="7992219C" w14:textId="77777777" w:rsidR="00786DD5" w:rsidRPr="00FB4EF5" w:rsidRDefault="00786DD5" w:rsidP="006C2A43">
            <w:pPr>
              <w:rPr>
                <w:rFonts w:eastAsia="Times New Roman"/>
                <w:color w:val="000000" w:themeColor="text1"/>
                <w:szCs w:val="20"/>
                <w:lang w:eastAsia="en-GB"/>
              </w:rPr>
            </w:pPr>
            <w:r w:rsidRPr="00FB4EF5">
              <w:rPr>
                <w:rFonts w:eastAsia="Times New Roman"/>
                <w:color w:val="000000" w:themeColor="text1"/>
                <w:szCs w:val="20"/>
                <w:lang w:eastAsia="en-GB"/>
              </w:rPr>
              <w:t>MoNPI has committed at Nairobi Summit to invest in HR to address the demographic dividend</w:t>
            </w:r>
          </w:p>
        </w:tc>
        <w:tc>
          <w:tcPr>
            <w:tcW w:w="3330" w:type="dxa"/>
            <w:vAlign w:val="center"/>
          </w:tcPr>
          <w:p w14:paraId="762054BB" w14:textId="77777777" w:rsidR="00786DD5" w:rsidRPr="00FB4EF5"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t>High level commitment and integration of population and development in the SAP</w:t>
            </w:r>
          </w:p>
        </w:tc>
        <w:tc>
          <w:tcPr>
            <w:tcW w:w="1710" w:type="dxa"/>
            <w:vAlign w:val="center"/>
          </w:tcPr>
          <w:p w14:paraId="515F92D4" w14:textId="77777777" w:rsidR="00786DD5" w:rsidRPr="00FB4EF5" w:rsidRDefault="00786DD5" w:rsidP="006C2A43">
            <w:pPr>
              <w:rPr>
                <w:rFonts w:eastAsia="Times New Roman"/>
                <w:color w:val="000000" w:themeColor="text1"/>
                <w:szCs w:val="20"/>
                <w:lang w:eastAsia="en-GB"/>
              </w:rPr>
            </w:pPr>
            <w:r w:rsidRPr="00FB4EF5">
              <w:rPr>
                <w:rFonts w:eastAsia="Times New Roman"/>
                <w:color w:val="000000" w:themeColor="text1"/>
                <w:szCs w:val="20"/>
                <w:lang w:eastAsia="en-GB"/>
              </w:rPr>
              <w:t>Output 1.2 -  Costing of social sector services with a focus on equity and redistribution</w:t>
            </w:r>
          </w:p>
        </w:tc>
        <w:tc>
          <w:tcPr>
            <w:tcW w:w="1530" w:type="dxa"/>
            <w:vAlign w:val="center"/>
          </w:tcPr>
          <w:p w14:paraId="5A90A375" w14:textId="77777777" w:rsidR="00786DD5" w:rsidRPr="00FB4EF5" w:rsidRDefault="00786DD5" w:rsidP="006C2A43">
            <w:pPr>
              <w:rPr>
                <w:rFonts w:eastAsia="Times New Roman"/>
                <w:color w:val="000000" w:themeColor="text1"/>
                <w:szCs w:val="20"/>
                <w:lang w:eastAsia="en-GB"/>
              </w:rPr>
            </w:pPr>
            <w:r w:rsidRPr="00FB4EF5">
              <w:rPr>
                <w:rFonts w:eastAsia="Times New Roman"/>
                <w:color w:val="000000" w:themeColor="text1"/>
                <w:szCs w:val="20"/>
                <w:lang w:eastAsia="en-GB"/>
              </w:rPr>
              <w:t>UNFPA</w:t>
            </w:r>
          </w:p>
        </w:tc>
        <w:tc>
          <w:tcPr>
            <w:tcW w:w="1710" w:type="dxa"/>
            <w:vAlign w:val="center"/>
          </w:tcPr>
          <w:p w14:paraId="79DBB48A" w14:textId="77777777" w:rsidR="00786DD5" w:rsidRPr="00FB4EF5" w:rsidRDefault="00786DD5" w:rsidP="006C2A43">
            <w:pPr>
              <w:rPr>
                <w:rFonts w:eastAsia="Times New Roman"/>
                <w:color w:val="000000" w:themeColor="text1"/>
                <w:szCs w:val="20"/>
                <w:lang w:eastAsia="en-GB"/>
              </w:rPr>
            </w:pPr>
            <w:r w:rsidRPr="00FB4EF5">
              <w:rPr>
                <w:rFonts w:eastAsia="Times New Roman"/>
                <w:color w:val="000000" w:themeColor="text1"/>
                <w:szCs w:val="20"/>
                <w:lang w:eastAsia="en-GB"/>
              </w:rPr>
              <w:t>Ministry of National Planning and Infrastructure</w:t>
            </w:r>
          </w:p>
        </w:tc>
        <w:tc>
          <w:tcPr>
            <w:tcW w:w="1710" w:type="dxa"/>
            <w:vAlign w:val="center"/>
          </w:tcPr>
          <w:p w14:paraId="7CAA07B1" w14:textId="77777777" w:rsidR="00786DD5" w:rsidRPr="0043559F"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t>2019:</w:t>
            </w:r>
          </w:p>
          <w:p w14:paraId="21F6115B" w14:textId="77777777" w:rsidR="00786DD5" w:rsidRPr="0043559F"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t>USD 34,684</w:t>
            </w:r>
          </w:p>
          <w:p w14:paraId="780493DE" w14:textId="77777777" w:rsidR="00786DD5" w:rsidRPr="0043559F" w:rsidRDefault="00786DD5" w:rsidP="006C2A43">
            <w:pPr>
              <w:rPr>
                <w:rFonts w:eastAsia="Times New Roman"/>
                <w:color w:val="000000" w:themeColor="text1"/>
                <w:szCs w:val="20"/>
                <w:lang w:eastAsia="en-GB"/>
              </w:rPr>
            </w:pPr>
          </w:p>
          <w:p w14:paraId="62A9943F" w14:textId="77777777" w:rsidR="00786DD5" w:rsidRPr="0043559F"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t>2020:</w:t>
            </w:r>
          </w:p>
          <w:p w14:paraId="1EA9249B" w14:textId="77777777" w:rsidR="00786DD5" w:rsidRPr="00FB4EF5"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t>In kind support as technical assistance</w:t>
            </w:r>
          </w:p>
        </w:tc>
        <w:tc>
          <w:tcPr>
            <w:tcW w:w="1890" w:type="dxa"/>
            <w:vAlign w:val="center"/>
          </w:tcPr>
          <w:p w14:paraId="59EE217A" w14:textId="77777777" w:rsidR="00786DD5" w:rsidRPr="0043559F"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t>Shadiya Ibrahim</w:t>
            </w:r>
          </w:p>
          <w:p w14:paraId="1F8736FD" w14:textId="77777777" w:rsidR="00786DD5" w:rsidRPr="00FB4EF5"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t>ibrahim@unfpa.org</w:t>
            </w:r>
          </w:p>
        </w:tc>
      </w:tr>
      <w:tr w:rsidR="00786DD5" w:rsidRPr="00FB4EF5" w14:paraId="31C9E476" w14:textId="77777777" w:rsidTr="00786DD5">
        <w:trPr>
          <w:jc w:val="center"/>
        </w:trPr>
        <w:tc>
          <w:tcPr>
            <w:tcW w:w="2245" w:type="dxa"/>
            <w:vAlign w:val="center"/>
          </w:tcPr>
          <w:p w14:paraId="60FBD24B" w14:textId="77777777" w:rsidR="00786DD5" w:rsidRPr="00FB4EF5" w:rsidRDefault="00786DD5" w:rsidP="006C2A43">
            <w:pPr>
              <w:rPr>
                <w:rFonts w:eastAsia="Times New Roman"/>
                <w:color w:val="000000" w:themeColor="text1"/>
                <w:szCs w:val="20"/>
                <w:lang w:eastAsia="en-GB"/>
              </w:rPr>
            </w:pPr>
            <w:r w:rsidRPr="00FB4EF5">
              <w:rPr>
                <w:rFonts w:eastAsia="Times New Roman"/>
                <w:color w:val="000000" w:themeColor="text1"/>
                <w:szCs w:val="20"/>
                <w:lang w:eastAsia="en-GB"/>
              </w:rPr>
              <w:lastRenderedPageBreak/>
              <w:t>Provided technical support for development of documents for tobacco and energy/sugary drink taxation in 2017</w:t>
            </w:r>
          </w:p>
        </w:tc>
        <w:tc>
          <w:tcPr>
            <w:tcW w:w="3330" w:type="dxa"/>
            <w:vAlign w:val="center"/>
          </w:tcPr>
          <w:p w14:paraId="37BF7FE2" w14:textId="77777777" w:rsidR="00786DD5" w:rsidRPr="00FB4EF5" w:rsidRDefault="00786DD5" w:rsidP="006C2A43">
            <w:pPr>
              <w:rPr>
                <w:rFonts w:eastAsia="Times New Roman"/>
                <w:szCs w:val="20"/>
                <w:lang w:eastAsia="en-GB"/>
              </w:rPr>
            </w:pPr>
            <w:r w:rsidRPr="00FB4EF5">
              <w:rPr>
                <w:rFonts w:eastAsia="Times New Roman"/>
                <w:szCs w:val="20"/>
                <w:lang w:eastAsia="en-GB"/>
              </w:rPr>
              <w:t>40% increase in tax on tobacco and tobacco products and 15% increase in energy and fizzy drinks</w:t>
            </w:r>
          </w:p>
          <w:p w14:paraId="4899C583" w14:textId="77777777" w:rsidR="00786DD5" w:rsidRPr="00FB4EF5" w:rsidRDefault="00786DD5" w:rsidP="006C2A43">
            <w:pPr>
              <w:rPr>
                <w:rFonts w:eastAsia="Times New Roman"/>
                <w:szCs w:val="20"/>
                <w:lang w:eastAsia="en-GB"/>
              </w:rPr>
            </w:pPr>
          </w:p>
        </w:tc>
        <w:tc>
          <w:tcPr>
            <w:tcW w:w="1710" w:type="dxa"/>
            <w:vAlign w:val="center"/>
          </w:tcPr>
          <w:p w14:paraId="4E3B0636" w14:textId="77777777" w:rsidR="00786DD5" w:rsidRPr="00FB4EF5" w:rsidRDefault="00786DD5" w:rsidP="006C2A43">
            <w:pPr>
              <w:rPr>
                <w:rFonts w:eastAsia="Times New Roman"/>
                <w:szCs w:val="20"/>
                <w:lang w:eastAsia="en-GB"/>
              </w:rPr>
            </w:pPr>
            <w:r w:rsidRPr="00FB4EF5">
              <w:rPr>
                <w:rFonts w:eastAsia="Times New Roman"/>
                <w:szCs w:val="20"/>
                <w:lang w:eastAsia="en-GB"/>
              </w:rPr>
              <w:t>Output 1.2 -  Costing of social sector services with a focus on equity and redistribution</w:t>
            </w:r>
          </w:p>
        </w:tc>
        <w:tc>
          <w:tcPr>
            <w:tcW w:w="1530" w:type="dxa"/>
            <w:vAlign w:val="center"/>
          </w:tcPr>
          <w:p w14:paraId="496A145E" w14:textId="77777777" w:rsidR="00786DD5" w:rsidRPr="00FB4EF5" w:rsidRDefault="00786DD5" w:rsidP="006C2A43">
            <w:pPr>
              <w:rPr>
                <w:rFonts w:eastAsia="Times New Roman"/>
                <w:szCs w:val="20"/>
                <w:lang w:eastAsia="en-GB"/>
              </w:rPr>
            </w:pPr>
            <w:r w:rsidRPr="00FB4EF5">
              <w:rPr>
                <w:rFonts w:eastAsia="Times New Roman"/>
                <w:szCs w:val="20"/>
                <w:lang w:eastAsia="en-GB"/>
              </w:rPr>
              <w:t>WHO</w:t>
            </w:r>
          </w:p>
        </w:tc>
        <w:tc>
          <w:tcPr>
            <w:tcW w:w="1710" w:type="dxa"/>
            <w:vAlign w:val="center"/>
          </w:tcPr>
          <w:p w14:paraId="059C3052" w14:textId="77777777" w:rsidR="00786DD5" w:rsidRPr="00FB4EF5" w:rsidRDefault="00786DD5" w:rsidP="006C2A43">
            <w:pPr>
              <w:rPr>
                <w:rFonts w:eastAsia="Times New Roman"/>
                <w:szCs w:val="20"/>
                <w:lang w:eastAsia="en-GB"/>
              </w:rPr>
            </w:pPr>
            <w:r w:rsidRPr="00FB4EF5">
              <w:rPr>
                <w:rFonts w:eastAsia="Times New Roman"/>
                <w:szCs w:val="20"/>
                <w:lang w:eastAsia="en-GB"/>
              </w:rPr>
              <w:t>Ministry OF Health</w:t>
            </w:r>
          </w:p>
          <w:p w14:paraId="53F668EB" w14:textId="77777777" w:rsidR="00786DD5" w:rsidRPr="00FB4EF5" w:rsidRDefault="00786DD5" w:rsidP="006C2A43">
            <w:pPr>
              <w:rPr>
                <w:rFonts w:eastAsia="Times New Roman"/>
                <w:szCs w:val="20"/>
                <w:lang w:eastAsia="en-GB"/>
              </w:rPr>
            </w:pPr>
            <w:r w:rsidRPr="00FB4EF5">
              <w:rPr>
                <w:rFonts w:eastAsia="Times New Roman"/>
                <w:szCs w:val="20"/>
                <w:lang w:eastAsia="en-GB"/>
              </w:rPr>
              <w:t>Health Protection Agency</w:t>
            </w:r>
          </w:p>
          <w:p w14:paraId="2F23E2E1" w14:textId="77777777" w:rsidR="00786DD5" w:rsidRPr="00FB4EF5" w:rsidRDefault="00786DD5" w:rsidP="006C2A43">
            <w:pPr>
              <w:rPr>
                <w:rFonts w:eastAsia="Times New Roman"/>
                <w:szCs w:val="20"/>
                <w:lang w:eastAsia="en-GB"/>
              </w:rPr>
            </w:pPr>
            <w:r w:rsidRPr="00FB4EF5">
              <w:rPr>
                <w:rFonts w:eastAsia="Times New Roman"/>
                <w:szCs w:val="20"/>
                <w:lang w:eastAsia="en-GB"/>
              </w:rPr>
              <w:t>Ministry of Finance</w:t>
            </w:r>
          </w:p>
        </w:tc>
        <w:tc>
          <w:tcPr>
            <w:tcW w:w="1710" w:type="dxa"/>
            <w:vAlign w:val="center"/>
          </w:tcPr>
          <w:p w14:paraId="0EC38D9C" w14:textId="77777777" w:rsidR="00786DD5" w:rsidRPr="00FB4EF5" w:rsidRDefault="00786DD5" w:rsidP="006C2A43">
            <w:pPr>
              <w:rPr>
                <w:rFonts w:eastAsia="Times New Roman"/>
                <w:szCs w:val="20"/>
                <w:lang w:eastAsia="en-GB"/>
              </w:rPr>
            </w:pPr>
            <w:r w:rsidRPr="00FB4EF5">
              <w:rPr>
                <w:rFonts w:eastAsia="Times New Roman"/>
                <w:szCs w:val="20"/>
                <w:lang w:eastAsia="en-GB"/>
              </w:rPr>
              <w:t>WHO</w:t>
            </w:r>
          </w:p>
          <w:p w14:paraId="7F1C522A" w14:textId="71F96BB7" w:rsidR="00786DD5" w:rsidRPr="00FB4EF5" w:rsidRDefault="006F5C17" w:rsidP="006C2A43">
            <w:pPr>
              <w:rPr>
                <w:rFonts w:eastAsia="Times New Roman"/>
                <w:szCs w:val="20"/>
                <w:lang w:eastAsia="en-GB"/>
              </w:rPr>
            </w:pPr>
            <w:r>
              <w:rPr>
                <w:rFonts w:eastAsia="Times New Roman"/>
                <w:szCs w:val="20"/>
                <w:lang w:eastAsia="en-GB"/>
              </w:rPr>
              <w:t xml:space="preserve">USD </w:t>
            </w:r>
            <w:r w:rsidR="00786DD5" w:rsidRPr="00FB4EF5">
              <w:rPr>
                <w:rFonts w:eastAsia="Times New Roman"/>
                <w:szCs w:val="20"/>
                <w:lang w:eastAsia="en-GB"/>
              </w:rPr>
              <w:t>25,000</w:t>
            </w:r>
          </w:p>
        </w:tc>
        <w:tc>
          <w:tcPr>
            <w:tcW w:w="1890" w:type="dxa"/>
            <w:vAlign w:val="center"/>
          </w:tcPr>
          <w:p w14:paraId="7C8913CF" w14:textId="77777777" w:rsidR="00786DD5" w:rsidRPr="00FB4EF5" w:rsidRDefault="00786DD5" w:rsidP="006C2A43">
            <w:pPr>
              <w:rPr>
                <w:rFonts w:eastAsia="Times New Roman"/>
                <w:szCs w:val="20"/>
                <w:lang w:eastAsia="en-GB"/>
              </w:rPr>
            </w:pPr>
            <w:r w:rsidRPr="00FB4EF5">
              <w:rPr>
                <w:rFonts w:eastAsia="Times New Roman"/>
                <w:szCs w:val="20"/>
                <w:lang w:eastAsia="en-GB"/>
              </w:rPr>
              <w:t>Ms. Fathmath Hudha/hudhaf@who.int</w:t>
            </w:r>
          </w:p>
        </w:tc>
      </w:tr>
      <w:tr w:rsidR="00786DD5" w:rsidRPr="00FB4EF5" w14:paraId="2C85407C" w14:textId="77777777" w:rsidTr="00786DD5">
        <w:trPr>
          <w:trHeight w:val="1250"/>
          <w:jc w:val="center"/>
        </w:trPr>
        <w:tc>
          <w:tcPr>
            <w:tcW w:w="2245" w:type="dxa"/>
            <w:vAlign w:val="center"/>
          </w:tcPr>
          <w:p w14:paraId="294E4AE0" w14:textId="77777777" w:rsidR="00786DD5" w:rsidRPr="0093032C" w:rsidRDefault="00786DD5" w:rsidP="006C2A43">
            <w:pPr>
              <w:rPr>
                <w:rFonts w:eastAsia="Times New Roman"/>
                <w:color w:val="000000" w:themeColor="text1"/>
                <w:szCs w:val="20"/>
                <w:lang w:eastAsia="en-GB"/>
              </w:rPr>
            </w:pPr>
            <w:r w:rsidRPr="0093032C">
              <w:rPr>
                <w:rFonts w:eastAsia="Times New Roman"/>
                <w:color w:val="000000" w:themeColor="text1"/>
                <w:szCs w:val="20"/>
                <w:lang w:eastAsia="en-GB"/>
              </w:rPr>
              <w:t>Technical Support provided for the Public Health Expenditure Review 2017</w:t>
            </w:r>
          </w:p>
        </w:tc>
        <w:tc>
          <w:tcPr>
            <w:tcW w:w="3330" w:type="dxa"/>
            <w:vAlign w:val="center"/>
          </w:tcPr>
          <w:p w14:paraId="3B9B3C35" w14:textId="77777777" w:rsidR="00786DD5" w:rsidRPr="0093032C" w:rsidRDefault="00786DD5" w:rsidP="006C2A43">
            <w:pPr>
              <w:rPr>
                <w:rFonts w:eastAsia="Times New Roman"/>
                <w:szCs w:val="20"/>
                <w:lang w:eastAsia="en-GB"/>
              </w:rPr>
            </w:pPr>
            <w:r w:rsidRPr="0093032C">
              <w:rPr>
                <w:rFonts w:eastAsia="Times New Roman"/>
                <w:szCs w:val="20"/>
                <w:lang w:eastAsia="en-GB"/>
              </w:rPr>
              <w:t xml:space="preserve">Public health expenditure review demonstrated inefficiencies in pharmaceutical procurement and points to areas of resource allocation </w:t>
            </w:r>
          </w:p>
        </w:tc>
        <w:tc>
          <w:tcPr>
            <w:tcW w:w="1710" w:type="dxa"/>
            <w:vAlign w:val="center"/>
          </w:tcPr>
          <w:p w14:paraId="4D618602" w14:textId="77777777" w:rsidR="00786DD5" w:rsidRPr="0093032C" w:rsidRDefault="00786DD5" w:rsidP="006C2A43">
            <w:pPr>
              <w:rPr>
                <w:rFonts w:eastAsia="Times New Roman"/>
                <w:szCs w:val="20"/>
                <w:lang w:eastAsia="en-GB"/>
              </w:rPr>
            </w:pPr>
            <w:r w:rsidRPr="0093032C">
              <w:rPr>
                <w:rFonts w:eastAsia="Times New Roman"/>
                <w:szCs w:val="20"/>
                <w:lang w:eastAsia="en-GB"/>
              </w:rPr>
              <w:t>Financing strategy captures health financing systems to achieve universal coverage.</w:t>
            </w:r>
          </w:p>
        </w:tc>
        <w:tc>
          <w:tcPr>
            <w:tcW w:w="1530" w:type="dxa"/>
            <w:vAlign w:val="center"/>
          </w:tcPr>
          <w:p w14:paraId="315EE2E1" w14:textId="77777777" w:rsidR="00786DD5" w:rsidRPr="0093032C" w:rsidRDefault="00786DD5" w:rsidP="006C2A43">
            <w:pPr>
              <w:rPr>
                <w:rFonts w:eastAsia="Times New Roman"/>
                <w:szCs w:val="20"/>
                <w:lang w:eastAsia="en-GB"/>
              </w:rPr>
            </w:pPr>
            <w:r w:rsidRPr="0093032C">
              <w:rPr>
                <w:rFonts w:eastAsia="Times New Roman"/>
                <w:szCs w:val="20"/>
                <w:lang w:eastAsia="en-GB"/>
              </w:rPr>
              <w:t>WHO</w:t>
            </w:r>
          </w:p>
        </w:tc>
        <w:tc>
          <w:tcPr>
            <w:tcW w:w="1710" w:type="dxa"/>
            <w:vAlign w:val="center"/>
          </w:tcPr>
          <w:p w14:paraId="203297A6" w14:textId="77777777" w:rsidR="00786DD5" w:rsidRPr="0093032C" w:rsidRDefault="00786DD5" w:rsidP="006C2A43">
            <w:pPr>
              <w:rPr>
                <w:rFonts w:eastAsia="Times New Roman"/>
                <w:szCs w:val="20"/>
                <w:lang w:eastAsia="en-GB"/>
              </w:rPr>
            </w:pPr>
            <w:r w:rsidRPr="0093032C">
              <w:rPr>
                <w:rFonts w:eastAsia="Times New Roman"/>
                <w:szCs w:val="20"/>
                <w:lang w:eastAsia="en-GB"/>
              </w:rPr>
              <w:t xml:space="preserve">Ministry </w:t>
            </w:r>
            <w:r>
              <w:rPr>
                <w:rFonts w:eastAsia="Times New Roman"/>
                <w:szCs w:val="20"/>
                <w:lang w:eastAsia="en-GB"/>
              </w:rPr>
              <w:t>of</w:t>
            </w:r>
            <w:r w:rsidRPr="0093032C">
              <w:rPr>
                <w:rFonts w:eastAsia="Times New Roman"/>
                <w:szCs w:val="20"/>
                <w:lang w:eastAsia="en-GB"/>
              </w:rPr>
              <w:t xml:space="preserve"> Health</w:t>
            </w:r>
          </w:p>
          <w:p w14:paraId="4FF080D6" w14:textId="77777777" w:rsidR="00786DD5" w:rsidRPr="0093032C" w:rsidRDefault="00786DD5" w:rsidP="006C2A43">
            <w:pPr>
              <w:rPr>
                <w:rFonts w:eastAsia="Times New Roman"/>
                <w:szCs w:val="20"/>
                <w:lang w:eastAsia="en-GB"/>
              </w:rPr>
            </w:pPr>
            <w:r w:rsidRPr="0093032C">
              <w:rPr>
                <w:rFonts w:eastAsia="Times New Roman"/>
                <w:szCs w:val="20"/>
                <w:lang w:eastAsia="en-GB"/>
              </w:rPr>
              <w:t>National Social Protection Agency</w:t>
            </w:r>
          </w:p>
          <w:p w14:paraId="588B8129" w14:textId="77777777" w:rsidR="00786DD5" w:rsidRPr="0093032C" w:rsidRDefault="00786DD5" w:rsidP="006C2A43">
            <w:pPr>
              <w:rPr>
                <w:rFonts w:eastAsia="Times New Roman"/>
                <w:szCs w:val="20"/>
                <w:lang w:eastAsia="en-GB"/>
              </w:rPr>
            </w:pPr>
          </w:p>
        </w:tc>
        <w:tc>
          <w:tcPr>
            <w:tcW w:w="1710" w:type="dxa"/>
            <w:vAlign w:val="center"/>
          </w:tcPr>
          <w:p w14:paraId="7AE6DF8D" w14:textId="77777777" w:rsidR="00786DD5" w:rsidRPr="0093032C" w:rsidRDefault="00786DD5" w:rsidP="006C2A43">
            <w:pPr>
              <w:rPr>
                <w:rFonts w:eastAsia="Times New Roman"/>
                <w:szCs w:val="20"/>
                <w:lang w:eastAsia="en-GB"/>
              </w:rPr>
            </w:pPr>
            <w:r w:rsidRPr="0093032C">
              <w:rPr>
                <w:rFonts w:eastAsia="Times New Roman"/>
                <w:szCs w:val="20"/>
                <w:lang w:eastAsia="en-GB"/>
              </w:rPr>
              <w:t>WHO</w:t>
            </w:r>
          </w:p>
          <w:p w14:paraId="061B2661" w14:textId="5BB36DFF" w:rsidR="00786DD5" w:rsidRPr="0093032C" w:rsidRDefault="006F5C17" w:rsidP="006C2A43">
            <w:pPr>
              <w:rPr>
                <w:rFonts w:eastAsia="Times New Roman"/>
                <w:szCs w:val="20"/>
                <w:lang w:eastAsia="en-GB"/>
              </w:rPr>
            </w:pPr>
            <w:r>
              <w:rPr>
                <w:rFonts w:eastAsia="Times New Roman"/>
                <w:szCs w:val="20"/>
                <w:lang w:eastAsia="en-GB"/>
              </w:rPr>
              <w:t xml:space="preserve">USD </w:t>
            </w:r>
            <w:r w:rsidR="00786DD5" w:rsidRPr="0093032C">
              <w:rPr>
                <w:rFonts w:eastAsia="Times New Roman"/>
                <w:szCs w:val="20"/>
                <w:lang w:eastAsia="en-GB"/>
              </w:rPr>
              <w:t>20,000</w:t>
            </w:r>
          </w:p>
        </w:tc>
        <w:tc>
          <w:tcPr>
            <w:tcW w:w="1890" w:type="dxa"/>
            <w:vAlign w:val="center"/>
          </w:tcPr>
          <w:p w14:paraId="5A9BF7FB" w14:textId="77777777" w:rsidR="00786DD5" w:rsidRPr="0093032C" w:rsidRDefault="00786DD5" w:rsidP="006C2A43">
            <w:pPr>
              <w:rPr>
                <w:rFonts w:eastAsia="Times New Roman"/>
                <w:szCs w:val="20"/>
                <w:lang w:eastAsia="en-GB"/>
              </w:rPr>
            </w:pPr>
            <w:r w:rsidRPr="0093032C">
              <w:rPr>
                <w:rFonts w:eastAsia="Times New Roman"/>
                <w:szCs w:val="20"/>
                <w:lang w:eastAsia="en-GB"/>
              </w:rPr>
              <w:t>Ms. Aminath Fariha Mohamed</w:t>
            </w:r>
            <w:r>
              <w:rPr>
                <w:rFonts w:eastAsia="Times New Roman"/>
                <w:szCs w:val="20"/>
                <w:lang w:eastAsia="en-GB"/>
              </w:rPr>
              <w:t xml:space="preserve"> </w:t>
            </w:r>
            <w:r w:rsidRPr="0093032C">
              <w:rPr>
                <w:rFonts w:eastAsia="Times New Roman"/>
                <w:szCs w:val="20"/>
                <w:lang w:eastAsia="en-GB"/>
              </w:rPr>
              <w:t>aminathm@who.int</w:t>
            </w:r>
          </w:p>
        </w:tc>
      </w:tr>
      <w:tr w:rsidR="00786DD5" w:rsidRPr="00FB4EF5" w14:paraId="706B0DD0" w14:textId="77777777" w:rsidTr="00786DD5">
        <w:trPr>
          <w:jc w:val="center"/>
        </w:trPr>
        <w:tc>
          <w:tcPr>
            <w:tcW w:w="2245" w:type="dxa"/>
            <w:vAlign w:val="center"/>
          </w:tcPr>
          <w:p w14:paraId="0F07A8E5" w14:textId="77777777" w:rsidR="00786DD5" w:rsidRPr="00745D57" w:rsidRDefault="00786DD5" w:rsidP="006C2A43">
            <w:pPr>
              <w:rPr>
                <w:color w:val="000000" w:themeColor="text1"/>
              </w:rPr>
            </w:pPr>
            <w:r w:rsidRPr="00FB4EF5">
              <w:rPr>
                <w:rFonts w:eastAsia="Times New Roman"/>
                <w:color w:val="000000" w:themeColor="text1"/>
                <w:szCs w:val="20"/>
                <w:lang w:eastAsia="en-GB"/>
              </w:rPr>
              <w:t>Technical Support provided for the National Health Accounts 2015-2017</w:t>
            </w:r>
          </w:p>
        </w:tc>
        <w:tc>
          <w:tcPr>
            <w:tcW w:w="3330" w:type="dxa"/>
            <w:vAlign w:val="center"/>
          </w:tcPr>
          <w:p w14:paraId="33E7167C" w14:textId="77777777" w:rsidR="00786DD5" w:rsidRPr="00FB4EF5" w:rsidRDefault="00786DD5" w:rsidP="006C2A43">
            <w:pPr>
              <w:rPr>
                <w:rFonts w:eastAsia="Times New Roman"/>
                <w:szCs w:val="20"/>
                <w:lang w:eastAsia="en-GB"/>
              </w:rPr>
            </w:pPr>
            <w:r w:rsidRPr="00FB4EF5">
              <w:rPr>
                <w:rFonts w:eastAsia="Times New Roman"/>
                <w:szCs w:val="20"/>
                <w:lang w:eastAsia="en-GB"/>
              </w:rPr>
              <w:t>Provided detailed overview of resource flows in Maldives health care system. It generated evidence on current trends in health sector resource distribution and utilization and prioritize funding based on the health needs of the country</w:t>
            </w:r>
            <w:r>
              <w:rPr>
                <w:rFonts w:eastAsia="Times New Roman"/>
                <w:szCs w:val="20"/>
                <w:lang w:eastAsia="en-GB"/>
              </w:rPr>
              <w:t>.</w:t>
            </w:r>
          </w:p>
          <w:p w14:paraId="43565CDA" w14:textId="77777777" w:rsidR="00786DD5" w:rsidRPr="00745D57" w:rsidRDefault="00786DD5" w:rsidP="006C2A43"/>
        </w:tc>
        <w:tc>
          <w:tcPr>
            <w:tcW w:w="1710" w:type="dxa"/>
            <w:vAlign w:val="center"/>
          </w:tcPr>
          <w:p w14:paraId="6334EDD0" w14:textId="77777777" w:rsidR="00786DD5" w:rsidRPr="00745D57" w:rsidRDefault="00786DD5" w:rsidP="006C2A43">
            <w:r w:rsidRPr="00FB4EF5">
              <w:rPr>
                <w:rFonts w:eastAsia="Times New Roman"/>
                <w:szCs w:val="20"/>
                <w:lang w:eastAsia="en-GB"/>
              </w:rPr>
              <w:t>Financing strategy captures health financing systems to achieve universal coverage.</w:t>
            </w:r>
          </w:p>
        </w:tc>
        <w:tc>
          <w:tcPr>
            <w:tcW w:w="1530" w:type="dxa"/>
            <w:vAlign w:val="center"/>
          </w:tcPr>
          <w:p w14:paraId="00941D82" w14:textId="77777777" w:rsidR="00786DD5" w:rsidRPr="00745D57" w:rsidRDefault="00786DD5" w:rsidP="006C2A43">
            <w:r w:rsidRPr="00FB4EF5">
              <w:rPr>
                <w:rFonts w:eastAsia="Times New Roman"/>
                <w:szCs w:val="20"/>
                <w:lang w:eastAsia="en-GB"/>
              </w:rPr>
              <w:t>WHO</w:t>
            </w:r>
          </w:p>
        </w:tc>
        <w:tc>
          <w:tcPr>
            <w:tcW w:w="1710" w:type="dxa"/>
            <w:vAlign w:val="center"/>
          </w:tcPr>
          <w:p w14:paraId="4D3CA8A4" w14:textId="77777777" w:rsidR="00786DD5" w:rsidRPr="00FB4EF5" w:rsidRDefault="00786DD5" w:rsidP="006C2A43">
            <w:pPr>
              <w:rPr>
                <w:rFonts w:eastAsia="Times New Roman"/>
                <w:szCs w:val="20"/>
                <w:lang w:eastAsia="en-GB"/>
              </w:rPr>
            </w:pPr>
            <w:r w:rsidRPr="00FB4EF5">
              <w:rPr>
                <w:rFonts w:eastAsia="Times New Roman"/>
                <w:szCs w:val="20"/>
                <w:lang w:eastAsia="en-GB"/>
              </w:rPr>
              <w:t>Ministry OF Health</w:t>
            </w:r>
          </w:p>
          <w:p w14:paraId="2B1E800F" w14:textId="77777777" w:rsidR="00786DD5" w:rsidRPr="00FB4EF5" w:rsidRDefault="00786DD5" w:rsidP="006C2A43">
            <w:pPr>
              <w:rPr>
                <w:rFonts w:eastAsia="Times New Roman"/>
                <w:szCs w:val="20"/>
                <w:lang w:eastAsia="en-GB"/>
              </w:rPr>
            </w:pPr>
            <w:r w:rsidRPr="00FB4EF5">
              <w:rPr>
                <w:rFonts w:eastAsia="Times New Roman"/>
                <w:szCs w:val="20"/>
                <w:lang w:eastAsia="en-GB"/>
              </w:rPr>
              <w:t>National Social Protection Agency</w:t>
            </w:r>
          </w:p>
          <w:p w14:paraId="4C2394A4" w14:textId="77777777" w:rsidR="00786DD5" w:rsidRPr="00745D57" w:rsidRDefault="00786DD5" w:rsidP="006C2A43"/>
        </w:tc>
        <w:tc>
          <w:tcPr>
            <w:tcW w:w="1710" w:type="dxa"/>
            <w:vAlign w:val="center"/>
          </w:tcPr>
          <w:p w14:paraId="0C0A4594" w14:textId="77777777" w:rsidR="00786DD5" w:rsidRPr="00FB4EF5" w:rsidRDefault="00786DD5" w:rsidP="006C2A43">
            <w:pPr>
              <w:rPr>
                <w:rFonts w:eastAsia="Times New Roman"/>
                <w:szCs w:val="20"/>
                <w:lang w:eastAsia="en-GB"/>
              </w:rPr>
            </w:pPr>
            <w:r w:rsidRPr="00FB4EF5">
              <w:rPr>
                <w:rFonts w:eastAsia="Times New Roman"/>
                <w:szCs w:val="20"/>
                <w:lang w:eastAsia="en-GB"/>
              </w:rPr>
              <w:t>WHO</w:t>
            </w:r>
          </w:p>
          <w:p w14:paraId="011BE4C2" w14:textId="61804D30" w:rsidR="00786DD5" w:rsidRPr="00745D57" w:rsidRDefault="006F5C17" w:rsidP="006C2A43">
            <w:r>
              <w:rPr>
                <w:rFonts w:eastAsia="Times New Roman"/>
                <w:szCs w:val="20"/>
                <w:lang w:eastAsia="en-GB"/>
              </w:rPr>
              <w:t xml:space="preserve">USD </w:t>
            </w:r>
            <w:r w:rsidR="00786DD5" w:rsidRPr="00FB4EF5">
              <w:rPr>
                <w:rFonts w:eastAsia="Times New Roman"/>
                <w:szCs w:val="20"/>
                <w:lang w:eastAsia="en-GB"/>
              </w:rPr>
              <w:t>45,000</w:t>
            </w:r>
          </w:p>
        </w:tc>
        <w:tc>
          <w:tcPr>
            <w:tcW w:w="1890" w:type="dxa"/>
            <w:vAlign w:val="center"/>
          </w:tcPr>
          <w:p w14:paraId="26239D7A" w14:textId="77777777" w:rsidR="00786DD5" w:rsidRDefault="00786DD5" w:rsidP="006C2A43">
            <w:pPr>
              <w:rPr>
                <w:rFonts w:eastAsia="Times New Roman"/>
                <w:szCs w:val="20"/>
                <w:lang w:eastAsia="en-GB"/>
              </w:rPr>
            </w:pPr>
            <w:r w:rsidRPr="00FB4EF5">
              <w:rPr>
                <w:rFonts w:eastAsia="Times New Roman"/>
                <w:szCs w:val="20"/>
                <w:lang w:eastAsia="en-GB"/>
              </w:rPr>
              <w:t>Ms. Aminath Fariha Mohamed</w:t>
            </w:r>
          </w:p>
          <w:p w14:paraId="3F5D113C" w14:textId="77777777" w:rsidR="00786DD5" w:rsidRPr="00745D57" w:rsidRDefault="00786DD5" w:rsidP="006C2A43">
            <w:r w:rsidRPr="00FB4EF5">
              <w:rPr>
                <w:rFonts w:eastAsia="Times New Roman"/>
                <w:szCs w:val="20"/>
                <w:lang w:eastAsia="en-GB"/>
              </w:rPr>
              <w:t>aminathm@who.int</w:t>
            </w:r>
          </w:p>
        </w:tc>
      </w:tr>
      <w:tr w:rsidR="00786DD5" w:rsidRPr="00FB4EF5" w14:paraId="7494E74D" w14:textId="77777777" w:rsidTr="00786DD5">
        <w:trPr>
          <w:jc w:val="center"/>
        </w:trPr>
        <w:tc>
          <w:tcPr>
            <w:tcW w:w="2245" w:type="dxa"/>
            <w:vAlign w:val="center"/>
          </w:tcPr>
          <w:p w14:paraId="55FDD301" w14:textId="77777777" w:rsidR="00786DD5" w:rsidRPr="00FB4EF5" w:rsidRDefault="00786DD5" w:rsidP="006C2A43">
            <w:pPr>
              <w:rPr>
                <w:rFonts w:eastAsia="Times New Roman"/>
                <w:color w:val="000000" w:themeColor="text1"/>
                <w:szCs w:val="20"/>
                <w:lang w:eastAsia="en-GB"/>
              </w:rPr>
            </w:pPr>
            <w:r w:rsidRPr="00FB4EF5">
              <w:rPr>
                <w:rFonts w:eastAsia="Times New Roman"/>
                <w:color w:val="000000" w:themeColor="text1"/>
                <w:szCs w:val="20"/>
                <w:lang w:eastAsia="en-GB"/>
              </w:rPr>
              <w:t>Provided Technical Assistance to national Counterparts on M&amp;E</w:t>
            </w:r>
          </w:p>
        </w:tc>
        <w:tc>
          <w:tcPr>
            <w:tcW w:w="3330" w:type="dxa"/>
            <w:vAlign w:val="center"/>
          </w:tcPr>
          <w:p w14:paraId="0594C3AE" w14:textId="5F1E2E25" w:rsidR="00786DD5" w:rsidRPr="00FB4EF5" w:rsidRDefault="00601837" w:rsidP="006C2A43">
            <w:pPr>
              <w:rPr>
                <w:rFonts w:eastAsia="Times New Roman"/>
                <w:color w:val="000000" w:themeColor="text1"/>
                <w:szCs w:val="20"/>
                <w:lang w:eastAsia="en-GB"/>
              </w:rPr>
            </w:pPr>
            <w:r>
              <w:rPr>
                <w:rFonts w:eastAsia="Times New Roman"/>
                <w:color w:val="000000" w:themeColor="text1"/>
                <w:szCs w:val="20"/>
                <w:lang w:eastAsia="en-GB"/>
              </w:rPr>
              <w:t>Improved monitoring and evaluation capacity within key line Ministries</w:t>
            </w:r>
          </w:p>
        </w:tc>
        <w:tc>
          <w:tcPr>
            <w:tcW w:w="1710" w:type="dxa"/>
            <w:vAlign w:val="center"/>
          </w:tcPr>
          <w:p w14:paraId="3723966B" w14:textId="77777777" w:rsidR="00786DD5" w:rsidRPr="00FB4EF5" w:rsidRDefault="00786DD5" w:rsidP="006C2A43">
            <w:pPr>
              <w:rPr>
                <w:rFonts w:eastAsia="Times New Roman"/>
                <w:color w:val="000000" w:themeColor="text1"/>
                <w:szCs w:val="20"/>
                <w:lang w:eastAsia="en-GB"/>
              </w:rPr>
            </w:pPr>
            <w:r w:rsidRPr="00FB4EF5">
              <w:rPr>
                <w:rFonts w:eastAsia="Times New Roman"/>
                <w:color w:val="000000" w:themeColor="text1"/>
                <w:szCs w:val="20"/>
                <w:lang w:eastAsia="en-GB"/>
              </w:rPr>
              <w:t>Output 2.1 An integrated financing strategy compiled with a focus on promoting equity and climate resilience</w:t>
            </w:r>
          </w:p>
        </w:tc>
        <w:tc>
          <w:tcPr>
            <w:tcW w:w="1530" w:type="dxa"/>
            <w:vAlign w:val="center"/>
          </w:tcPr>
          <w:p w14:paraId="6B4E6727" w14:textId="77777777" w:rsidR="00786DD5" w:rsidRPr="00FB4EF5" w:rsidRDefault="00786DD5" w:rsidP="006C2A43">
            <w:pPr>
              <w:rPr>
                <w:rFonts w:eastAsia="Times New Roman"/>
                <w:color w:val="000000" w:themeColor="text1"/>
                <w:szCs w:val="20"/>
                <w:lang w:eastAsia="en-GB"/>
              </w:rPr>
            </w:pPr>
            <w:r w:rsidRPr="00FB4EF5">
              <w:rPr>
                <w:rFonts w:eastAsia="Times New Roman"/>
                <w:color w:val="000000" w:themeColor="text1"/>
                <w:szCs w:val="20"/>
                <w:lang w:eastAsia="en-GB"/>
              </w:rPr>
              <w:t>UNICEF</w:t>
            </w:r>
          </w:p>
        </w:tc>
        <w:tc>
          <w:tcPr>
            <w:tcW w:w="1710" w:type="dxa"/>
          </w:tcPr>
          <w:p w14:paraId="39D82CAB" w14:textId="77777777" w:rsidR="00786DD5" w:rsidRPr="00FB4EF5" w:rsidRDefault="00786DD5" w:rsidP="006C2A43">
            <w:pPr>
              <w:rPr>
                <w:rFonts w:eastAsia="Times New Roman"/>
                <w:color w:val="000000" w:themeColor="text1"/>
                <w:szCs w:val="20"/>
                <w:lang w:eastAsia="en-GB"/>
              </w:rPr>
            </w:pPr>
            <w:r w:rsidRPr="00767026">
              <w:rPr>
                <w:rFonts w:eastAsia="Times New Roman"/>
                <w:color w:val="000000" w:themeColor="text1"/>
                <w:szCs w:val="20"/>
                <w:lang w:eastAsia="en-GB"/>
              </w:rPr>
              <w:t xml:space="preserve">Parliamentary Budget Committee </w:t>
            </w:r>
          </w:p>
        </w:tc>
        <w:tc>
          <w:tcPr>
            <w:tcW w:w="1710" w:type="dxa"/>
          </w:tcPr>
          <w:p w14:paraId="35366C5F" w14:textId="7835EA09" w:rsidR="00786DD5" w:rsidRPr="00767026" w:rsidRDefault="006F5C17" w:rsidP="006C2A43">
            <w:pPr>
              <w:rPr>
                <w:rFonts w:eastAsia="Times New Roman"/>
                <w:color w:val="000000" w:themeColor="text1"/>
                <w:szCs w:val="20"/>
                <w:lang w:eastAsia="en-GB"/>
              </w:rPr>
            </w:pPr>
            <w:r w:rsidRPr="00767026">
              <w:rPr>
                <w:rFonts w:eastAsia="Times New Roman"/>
                <w:color w:val="000000" w:themeColor="text1"/>
                <w:szCs w:val="20"/>
                <w:lang w:eastAsia="en-GB"/>
              </w:rPr>
              <w:t xml:space="preserve">USD </w:t>
            </w:r>
            <w:r w:rsidR="00786DD5" w:rsidRPr="00767026">
              <w:rPr>
                <w:rFonts w:eastAsia="Times New Roman"/>
                <w:color w:val="000000" w:themeColor="text1"/>
                <w:szCs w:val="20"/>
                <w:lang w:eastAsia="en-GB"/>
              </w:rPr>
              <w:t xml:space="preserve">40,000 </w:t>
            </w:r>
          </w:p>
          <w:p w14:paraId="03E84099" w14:textId="77777777" w:rsidR="00786DD5" w:rsidRPr="00FB4EF5" w:rsidRDefault="00786DD5" w:rsidP="006C2A43">
            <w:pPr>
              <w:rPr>
                <w:rFonts w:eastAsia="Times New Roman"/>
                <w:color w:val="000000" w:themeColor="text1"/>
                <w:szCs w:val="20"/>
                <w:lang w:eastAsia="en-GB"/>
              </w:rPr>
            </w:pPr>
            <w:r w:rsidRPr="00767026">
              <w:rPr>
                <w:rFonts w:eastAsia="Times New Roman"/>
                <w:color w:val="000000" w:themeColor="text1"/>
                <w:szCs w:val="20"/>
                <w:lang w:eastAsia="en-GB"/>
              </w:rPr>
              <w:t>UNICEF funding</w:t>
            </w:r>
          </w:p>
        </w:tc>
        <w:tc>
          <w:tcPr>
            <w:tcW w:w="1890" w:type="dxa"/>
          </w:tcPr>
          <w:p w14:paraId="0002D706" w14:textId="77777777" w:rsidR="00786DD5" w:rsidRDefault="00786DD5" w:rsidP="006C2A43">
            <w:pPr>
              <w:rPr>
                <w:rFonts w:eastAsia="Times New Roman"/>
                <w:color w:val="000000" w:themeColor="text1"/>
                <w:szCs w:val="20"/>
                <w:lang w:eastAsia="en-GB"/>
              </w:rPr>
            </w:pPr>
            <w:r w:rsidRPr="00767026">
              <w:rPr>
                <w:rFonts w:eastAsia="Times New Roman"/>
                <w:color w:val="000000" w:themeColor="text1"/>
                <w:szCs w:val="20"/>
                <w:lang w:eastAsia="en-GB"/>
              </w:rPr>
              <w:t>Ibrahim Naseem</w:t>
            </w:r>
          </w:p>
          <w:p w14:paraId="07FF9F74" w14:textId="77777777" w:rsidR="00786DD5" w:rsidRPr="00FB4EF5" w:rsidRDefault="00786DD5" w:rsidP="006C2A43">
            <w:pPr>
              <w:rPr>
                <w:rFonts w:eastAsia="Times New Roman"/>
                <w:color w:val="000000" w:themeColor="text1"/>
                <w:szCs w:val="20"/>
                <w:lang w:eastAsia="en-GB"/>
              </w:rPr>
            </w:pPr>
            <w:r w:rsidRPr="00767026">
              <w:rPr>
                <w:rFonts w:eastAsia="Times New Roman"/>
                <w:color w:val="000000" w:themeColor="text1"/>
                <w:szCs w:val="20"/>
                <w:lang w:eastAsia="en-GB"/>
              </w:rPr>
              <w:t>inaseem@unicef.org</w:t>
            </w:r>
          </w:p>
        </w:tc>
      </w:tr>
      <w:tr w:rsidR="00786DD5" w:rsidRPr="00FB4EF5" w14:paraId="5D046229" w14:textId="77777777" w:rsidTr="00786DD5">
        <w:trPr>
          <w:jc w:val="center"/>
        </w:trPr>
        <w:tc>
          <w:tcPr>
            <w:tcW w:w="2245" w:type="dxa"/>
            <w:vAlign w:val="center"/>
          </w:tcPr>
          <w:p w14:paraId="31B915A9" w14:textId="77777777" w:rsidR="00786DD5" w:rsidRPr="00FB4EF5" w:rsidRDefault="00786DD5" w:rsidP="006C2A43">
            <w:pPr>
              <w:rPr>
                <w:rFonts w:eastAsia="Times New Roman"/>
                <w:color w:val="000000" w:themeColor="text1"/>
                <w:szCs w:val="20"/>
                <w:lang w:eastAsia="en-GB"/>
              </w:rPr>
            </w:pPr>
            <w:r w:rsidRPr="00FB4EF5">
              <w:rPr>
                <w:rFonts w:eastAsia="Times New Roman"/>
                <w:color w:val="000000" w:themeColor="text1"/>
                <w:szCs w:val="20"/>
                <w:lang w:eastAsia="en-GB"/>
              </w:rPr>
              <w:lastRenderedPageBreak/>
              <w:t xml:space="preserve">Technical Support for review of existing   Logistics Management and Information System (LMIS) in Maldives during 2017- 2018 </w:t>
            </w:r>
          </w:p>
          <w:p w14:paraId="2480C8FE" w14:textId="77777777" w:rsidR="00786DD5" w:rsidRPr="00FB4EF5" w:rsidRDefault="00786DD5" w:rsidP="006C2A43">
            <w:pPr>
              <w:rPr>
                <w:rFonts w:eastAsia="Times New Roman"/>
                <w:color w:val="000000" w:themeColor="text1"/>
                <w:szCs w:val="20"/>
                <w:lang w:eastAsia="en-GB"/>
              </w:rPr>
            </w:pPr>
          </w:p>
        </w:tc>
        <w:tc>
          <w:tcPr>
            <w:tcW w:w="3330" w:type="dxa"/>
            <w:vAlign w:val="center"/>
          </w:tcPr>
          <w:p w14:paraId="7BAB6E85" w14:textId="77777777" w:rsidR="00786DD5" w:rsidRPr="00745D57" w:rsidRDefault="00786DD5" w:rsidP="006C2A43">
            <w:r w:rsidRPr="00FB4EF5">
              <w:rPr>
                <w:rFonts w:eastAsia="Times New Roman"/>
                <w:szCs w:val="20"/>
                <w:lang w:eastAsia="en-GB"/>
              </w:rPr>
              <w:t xml:space="preserve">Identified gaps and challenges that need to be addressed for establishing eLMIS and recommendations on key components that the platform should </w:t>
            </w:r>
            <w:r>
              <w:rPr>
                <w:rFonts w:eastAsia="Times New Roman"/>
                <w:szCs w:val="20"/>
                <w:lang w:eastAsia="en-GB"/>
              </w:rPr>
              <w:t>include</w:t>
            </w:r>
            <w:r w:rsidRPr="00FB4EF5">
              <w:rPr>
                <w:rFonts w:eastAsia="Times New Roman"/>
                <w:szCs w:val="20"/>
                <w:lang w:eastAsia="en-GB"/>
              </w:rPr>
              <w:t xml:space="preserve"> based on country specifics </w:t>
            </w:r>
          </w:p>
        </w:tc>
        <w:tc>
          <w:tcPr>
            <w:tcW w:w="1710" w:type="dxa"/>
            <w:vAlign w:val="center"/>
          </w:tcPr>
          <w:p w14:paraId="7ABBD1A2" w14:textId="77777777" w:rsidR="00786DD5" w:rsidRPr="00745D57" w:rsidRDefault="00786DD5" w:rsidP="006C2A43">
            <w:r w:rsidRPr="00FB4EF5">
              <w:rPr>
                <w:rFonts w:eastAsia="Times New Roman"/>
                <w:szCs w:val="20"/>
                <w:lang w:eastAsia="en-GB"/>
              </w:rPr>
              <w:t>To ensure sustainable management of essential medicines and medical supplies</w:t>
            </w:r>
          </w:p>
        </w:tc>
        <w:tc>
          <w:tcPr>
            <w:tcW w:w="1530" w:type="dxa"/>
            <w:vAlign w:val="center"/>
          </w:tcPr>
          <w:p w14:paraId="126634A8" w14:textId="77777777" w:rsidR="00786DD5" w:rsidRPr="00745D57" w:rsidRDefault="00786DD5" w:rsidP="006C2A43">
            <w:r w:rsidRPr="00FB4EF5">
              <w:rPr>
                <w:rFonts w:eastAsia="Times New Roman"/>
                <w:szCs w:val="20"/>
                <w:lang w:eastAsia="en-GB"/>
              </w:rPr>
              <w:t>WHO</w:t>
            </w:r>
          </w:p>
        </w:tc>
        <w:tc>
          <w:tcPr>
            <w:tcW w:w="1710" w:type="dxa"/>
            <w:vAlign w:val="center"/>
          </w:tcPr>
          <w:p w14:paraId="75FECDCC" w14:textId="77777777" w:rsidR="00786DD5" w:rsidRPr="00745D57" w:rsidRDefault="00786DD5" w:rsidP="006C2A43">
            <w:r w:rsidRPr="00FB4EF5">
              <w:rPr>
                <w:rFonts w:eastAsia="Times New Roman"/>
                <w:szCs w:val="20"/>
                <w:lang w:eastAsia="en-GB"/>
              </w:rPr>
              <w:t xml:space="preserve">Ministry of Health </w:t>
            </w:r>
          </w:p>
        </w:tc>
        <w:tc>
          <w:tcPr>
            <w:tcW w:w="1710" w:type="dxa"/>
            <w:vAlign w:val="center"/>
          </w:tcPr>
          <w:p w14:paraId="4B29F0DD" w14:textId="77777777" w:rsidR="00786DD5" w:rsidRPr="00FB4EF5" w:rsidRDefault="00786DD5" w:rsidP="006C2A43">
            <w:pPr>
              <w:rPr>
                <w:rFonts w:eastAsia="Times New Roman"/>
                <w:szCs w:val="20"/>
                <w:lang w:eastAsia="en-GB"/>
              </w:rPr>
            </w:pPr>
            <w:r w:rsidRPr="00FB4EF5">
              <w:rPr>
                <w:rFonts w:eastAsia="Times New Roman"/>
                <w:szCs w:val="20"/>
                <w:lang w:eastAsia="en-GB"/>
              </w:rPr>
              <w:t>WHO</w:t>
            </w:r>
          </w:p>
          <w:p w14:paraId="230A1B8A" w14:textId="0E926AFA" w:rsidR="00786DD5" w:rsidRPr="00745D57" w:rsidRDefault="006F5C17" w:rsidP="006C2A43">
            <w:r>
              <w:rPr>
                <w:rFonts w:eastAsia="Times New Roman"/>
                <w:szCs w:val="20"/>
                <w:lang w:eastAsia="en-GB"/>
              </w:rPr>
              <w:t xml:space="preserve">USD </w:t>
            </w:r>
            <w:r w:rsidR="00786DD5" w:rsidRPr="00FB4EF5">
              <w:rPr>
                <w:rFonts w:eastAsia="Times New Roman"/>
                <w:szCs w:val="20"/>
                <w:lang w:eastAsia="en-GB"/>
              </w:rPr>
              <w:t>20,000</w:t>
            </w:r>
          </w:p>
        </w:tc>
        <w:tc>
          <w:tcPr>
            <w:tcW w:w="1890" w:type="dxa"/>
            <w:vAlign w:val="center"/>
          </w:tcPr>
          <w:p w14:paraId="55CF3B06" w14:textId="77777777" w:rsidR="00786DD5" w:rsidRDefault="00786DD5" w:rsidP="006C2A43">
            <w:pPr>
              <w:rPr>
                <w:rFonts w:eastAsia="Times New Roman"/>
                <w:color w:val="000000" w:themeColor="text1"/>
                <w:szCs w:val="20"/>
                <w:lang w:eastAsia="en-GB"/>
              </w:rPr>
            </w:pPr>
            <w:r w:rsidRPr="00FB4EF5">
              <w:rPr>
                <w:rFonts w:eastAsia="Times New Roman"/>
                <w:color w:val="000000" w:themeColor="text1"/>
                <w:szCs w:val="20"/>
                <w:lang w:eastAsia="en-GB"/>
              </w:rPr>
              <w:t>Ms. Aminath Fariha Mohamed</w:t>
            </w:r>
          </w:p>
          <w:p w14:paraId="0A18305F" w14:textId="77777777" w:rsidR="00786DD5" w:rsidRPr="00FB4EF5" w:rsidRDefault="00786DD5" w:rsidP="006C2A43">
            <w:pPr>
              <w:rPr>
                <w:rFonts w:eastAsia="Times New Roman"/>
                <w:color w:val="000000" w:themeColor="text1"/>
                <w:szCs w:val="20"/>
                <w:lang w:eastAsia="en-GB"/>
              </w:rPr>
            </w:pPr>
            <w:r w:rsidRPr="00FB4EF5">
              <w:rPr>
                <w:rFonts w:eastAsia="Times New Roman"/>
                <w:color w:val="000000" w:themeColor="text1"/>
                <w:szCs w:val="20"/>
                <w:lang w:eastAsia="en-GB"/>
              </w:rPr>
              <w:t>aminathm@who.int</w:t>
            </w:r>
          </w:p>
        </w:tc>
      </w:tr>
      <w:tr w:rsidR="00786DD5" w:rsidRPr="00FB4EF5" w14:paraId="2A1CFF7C" w14:textId="77777777" w:rsidTr="00786DD5">
        <w:trPr>
          <w:trHeight w:val="1295"/>
          <w:jc w:val="center"/>
        </w:trPr>
        <w:tc>
          <w:tcPr>
            <w:tcW w:w="2245" w:type="dxa"/>
            <w:vAlign w:val="center"/>
          </w:tcPr>
          <w:p w14:paraId="0C369AD6" w14:textId="77777777" w:rsidR="00786DD5" w:rsidRPr="00FB4EF5" w:rsidRDefault="00786DD5" w:rsidP="006C2A43">
            <w:pPr>
              <w:rPr>
                <w:rFonts w:eastAsia="Times New Roman"/>
                <w:color w:val="000000" w:themeColor="text1"/>
                <w:szCs w:val="20"/>
                <w:lang w:eastAsia="en-GB"/>
              </w:rPr>
            </w:pPr>
            <w:r w:rsidRPr="00FB4EF5">
              <w:rPr>
                <w:rFonts w:eastAsia="Times New Roman"/>
                <w:color w:val="000000" w:themeColor="text1"/>
                <w:szCs w:val="20"/>
                <w:lang w:eastAsia="en-GB"/>
              </w:rPr>
              <w:t xml:space="preserve">Technical support to evaluate implementation of the National Medicine Policy during 2019 </w:t>
            </w:r>
          </w:p>
          <w:p w14:paraId="25DEB259" w14:textId="77777777" w:rsidR="00786DD5" w:rsidRPr="00FB4EF5" w:rsidRDefault="00786DD5" w:rsidP="006C2A43">
            <w:pPr>
              <w:rPr>
                <w:rFonts w:eastAsia="Times New Roman"/>
                <w:color w:val="000000" w:themeColor="text1"/>
                <w:szCs w:val="20"/>
                <w:lang w:eastAsia="en-GB"/>
              </w:rPr>
            </w:pPr>
          </w:p>
        </w:tc>
        <w:tc>
          <w:tcPr>
            <w:tcW w:w="3330" w:type="dxa"/>
            <w:vAlign w:val="center"/>
          </w:tcPr>
          <w:p w14:paraId="6B6CD96B" w14:textId="77777777" w:rsidR="00786DD5" w:rsidRPr="00745D57" w:rsidRDefault="00786DD5" w:rsidP="006C2A43">
            <w:r w:rsidRPr="00FB4EF5">
              <w:rPr>
                <w:rFonts w:eastAsia="Times New Roman"/>
                <w:szCs w:val="20"/>
                <w:lang w:eastAsia="en-GB"/>
              </w:rPr>
              <w:t xml:space="preserve">Identified the areas that need to be addressed </w:t>
            </w:r>
            <w:r>
              <w:rPr>
                <w:rFonts w:eastAsia="Times New Roman"/>
                <w:szCs w:val="20"/>
                <w:lang w:eastAsia="en-GB"/>
              </w:rPr>
              <w:t>to</w:t>
            </w:r>
            <w:r w:rsidRPr="00FB4EF5">
              <w:rPr>
                <w:rFonts w:eastAsia="Times New Roman"/>
                <w:szCs w:val="20"/>
                <w:lang w:eastAsia="en-GB"/>
              </w:rPr>
              <w:t xml:space="preserve"> strengthen the public procurement and supply management system to control escalating expenditure of medicines</w:t>
            </w:r>
          </w:p>
        </w:tc>
        <w:tc>
          <w:tcPr>
            <w:tcW w:w="1710" w:type="dxa"/>
            <w:vAlign w:val="center"/>
          </w:tcPr>
          <w:p w14:paraId="49DDDCF3" w14:textId="77777777" w:rsidR="00786DD5" w:rsidRPr="00745D57" w:rsidRDefault="00786DD5" w:rsidP="006C2A43">
            <w:r w:rsidRPr="00FB4EF5">
              <w:rPr>
                <w:rFonts w:eastAsia="Times New Roman"/>
                <w:szCs w:val="20"/>
                <w:lang w:eastAsia="en-GB"/>
              </w:rPr>
              <w:t>To ensure sustainable management of essential medicines and medical supplies</w:t>
            </w:r>
          </w:p>
        </w:tc>
        <w:tc>
          <w:tcPr>
            <w:tcW w:w="1530" w:type="dxa"/>
            <w:vAlign w:val="center"/>
          </w:tcPr>
          <w:p w14:paraId="5F723283" w14:textId="77777777" w:rsidR="00786DD5" w:rsidRPr="00745D57" w:rsidRDefault="00786DD5" w:rsidP="006C2A43">
            <w:r w:rsidRPr="00FB4EF5">
              <w:rPr>
                <w:rFonts w:eastAsia="Times New Roman"/>
                <w:szCs w:val="20"/>
                <w:lang w:eastAsia="en-GB"/>
              </w:rPr>
              <w:t xml:space="preserve">WHO </w:t>
            </w:r>
          </w:p>
        </w:tc>
        <w:tc>
          <w:tcPr>
            <w:tcW w:w="1710" w:type="dxa"/>
            <w:vAlign w:val="center"/>
          </w:tcPr>
          <w:p w14:paraId="3B08BC6F" w14:textId="77777777" w:rsidR="00786DD5" w:rsidRPr="00FB4EF5" w:rsidRDefault="00786DD5" w:rsidP="006C2A43">
            <w:pPr>
              <w:rPr>
                <w:rFonts w:eastAsia="Times New Roman"/>
                <w:szCs w:val="20"/>
                <w:lang w:eastAsia="en-GB"/>
              </w:rPr>
            </w:pPr>
            <w:r w:rsidRPr="00FB4EF5">
              <w:rPr>
                <w:rFonts w:eastAsia="Times New Roman"/>
                <w:szCs w:val="20"/>
                <w:lang w:eastAsia="en-GB"/>
              </w:rPr>
              <w:t xml:space="preserve">Maldives Food and Drug Authority </w:t>
            </w:r>
          </w:p>
          <w:p w14:paraId="5931B6EE" w14:textId="77777777" w:rsidR="00786DD5" w:rsidRPr="00745D57" w:rsidRDefault="00786DD5" w:rsidP="006C2A43">
            <w:r w:rsidRPr="00FB4EF5">
              <w:rPr>
                <w:rFonts w:eastAsia="Times New Roman"/>
                <w:szCs w:val="20"/>
                <w:lang w:eastAsia="en-GB"/>
              </w:rPr>
              <w:t>Ministry of Health</w:t>
            </w:r>
          </w:p>
        </w:tc>
        <w:tc>
          <w:tcPr>
            <w:tcW w:w="1710" w:type="dxa"/>
            <w:vAlign w:val="center"/>
          </w:tcPr>
          <w:p w14:paraId="6343A2AC" w14:textId="77777777" w:rsidR="00786DD5" w:rsidRPr="00FB4EF5" w:rsidRDefault="00786DD5" w:rsidP="006C2A43">
            <w:pPr>
              <w:rPr>
                <w:rFonts w:eastAsia="Times New Roman"/>
                <w:szCs w:val="20"/>
                <w:lang w:eastAsia="en-GB"/>
              </w:rPr>
            </w:pPr>
            <w:r w:rsidRPr="00FB4EF5">
              <w:rPr>
                <w:rFonts w:eastAsia="Times New Roman"/>
                <w:szCs w:val="20"/>
                <w:lang w:eastAsia="en-GB"/>
              </w:rPr>
              <w:t>WHO</w:t>
            </w:r>
          </w:p>
          <w:p w14:paraId="34C49500" w14:textId="1696E7E4" w:rsidR="00786DD5" w:rsidRPr="00745D57" w:rsidRDefault="006F5C17" w:rsidP="006C2A43">
            <w:r>
              <w:rPr>
                <w:rFonts w:eastAsia="Times New Roman"/>
                <w:szCs w:val="20"/>
                <w:lang w:eastAsia="en-GB"/>
              </w:rPr>
              <w:t xml:space="preserve">USD </w:t>
            </w:r>
            <w:r w:rsidR="00786DD5" w:rsidRPr="00FB4EF5">
              <w:rPr>
                <w:rFonts w:eastAsia="Times New Roman"/>
                <w:szCs w:val="20"/>
                <w:lang w:eastAsia="en-GB"/>
              </w:rPr>
              <w:t>25,000</w:t>
            </w:r>
          </w:p>
        </w:tc>
        <w:tc>
          <w:tcPr>
            <w:tcW w:w="1890" w:type="dxa"/>
            <w:vAlign w:val="center"/>
          </w:tcPr>
          <w:p w14:paraId="7494E5C8" w14:textId="77777777" w:rsidR="00786DD5" w:rsidRDefault="00786DD5" w:rsidP="006C2A43">
            <w:pPr>
              <w:rPr>
                <w:rFonts w:eastAsia="Times New Roman"/>
                <w:color w:val="000000" w:themeColor="text1"/>
                <w:szCs w:val="20"/>
                <w:lang w:eastAsia="en-GB"/>
              </w:rPr>
            </w:pPr>
            <w:r w:rsidRPr="00FB4EF5">
              <w:rPr>
                <w:rFonts w:eastAsia="Times New Roman"/>
                <w:color w:val="000000" w:themeColor="text1"/>
                <w:szCs w:val="20"/>
                <w:lang w:eastAsia="en-GB"/>
              </w:rPr>
              <w:t>Ms. Aminath Fariha Mohamed</w:t>
            </w:r>
          </w:p>
          <w:p w14:paraId="0F40201F" w14:textId="77777777" w:rsidR="00786DD5" w:rsidRPr="00745D57" w:rsidRDefault="00786DD5" w:rsidP="006C2A43">
            <w:pPr>
              <w:rPr>
                <w:rStyle w:val="CommentReference"/>
                <w:sz w:val="20"/>
              </w:rPr>
            </w:pPr>
            <w:r w:rsidRPr="00FB4EF5">
              <w:rPr>
                <w:rFonts w:eastAsia="Times New Roman"/>
                <w:color w:val="000000" w:themeColor="text1"/>
                <w:szCs w:val="20"/>
                <w:lang w:eastAsia="en-GB"/>
              </w:rPr>
              <w:t>aminathm@who.int</w:t>
            </w:r>
          </w:p>
        </w:tc>
      </w:tr>
      <w:tr w:rsidR="00786DD5" w:rsidRPr="00FB4EF5" w14:paraId="1272D5B1" w14:textId="77777777" w:rsidTr="00786DD5">
        <w:trPr>
          <w:jc w:val="center"/>
        </w:trPr>
        <w:tc>
          <w:tcPr>
            <w:tcW w:w="2245" w:type="dxa"/>
            <w:vAlign w:val="center"/>
          </w:tcPr>
          <w:p w14:paraId="3581F0B2" w14:textId="77777777" w:rsidR="00786DD5" w:rsidRPr="00FB4EF5" w:rsidRDefault="00786DD5" w:rsidP="006C2A43">
            <w:pPr>
              <w:rPr>
                <w:rFonts w:eastAsia="Times New Roman"/>
                <w:color w:val="000000" w:themeColor="text1"/>
                <w:szCs w:val="20"/>
                <w:lang w:eastAsia="en-GB"/>
              </w:rPr>
            </w:pPr>
            <w:r w:rsidRPr="00FB4EF5">
              <w:rPr>
                <w:rFonts w:eastAsia="Times New Roman"/>
                <w:color w:val="000000" w:themeColor="text1"/>
                <w:szCs w:val="20"/>
                <w:lang w:eastAsia="en-GB"/>
              </w:rPr>
              <w:t>Develop Essential Medicines List during 2018</w:t>
            </w:r>
          </w:p>
        </w:tc>
        <w:tc>
          <w:tcPr>
            <w:tcW w:w="3330" w:type="dxa"/>
            <w:vAlign w:val="center"/>
          </w:tcPr>
          <w:p w14:paraId="54FB9C6D" w14:textId="77777777" w:rsidR="00786DD5" w:rsidRPr="00FB4EF5" w:rsidRDefault="00786DD5" w:rsidP="006C2A43">
            <w:pPr>
              <w:rPr>
                <w:rFonts w:eastAsia="Times New Roman"/>
                <w:szCs w:val="20"/>
                <w:lang w:eastAsia="en-GB"/>
              </w:rPr>
            </w:pPr>
            <w:r w:rsidRPr="00FB4EF5">
              <w:rPr>
                <w:rFonts w:eastAsia="Times New Roman"/>
                <w:szCs w:val="20"/>
                <w:lang w:eastAsia="en-GB"/>
              </w:rPr>
              <w:t xml:space="preserve">EML 2018 </w:t>
            </w:r>
            <w:r>
              <w:rPr>
                <w:rFonts w:eastAsia="Times New Roman"/>
                <w:szCs w:val="20"/>
                <w:lang w:eastAsia="en-GB"/>
              </w:rPr>
              <w:t xml:space="preserve">resulted </w:t>
            </w:r>
            <w:r w:rsidRPr="00FB4EF5">
              <w:rPr>
                <w:rFonts w:eastAsia="Times New Roman"/>
                <w:szCs w:val="20"/>
                <w:lang w:eastAsia="en-GB"/>
              </w:rPr>
              <w:t>in four hundred and thirty two (432) medicines/</w:t>
            </w:r>
            <w:r>
              <w:rPr>
                <w:rFonts w:eastAsia="Times New Roman"/>
                <w:szCs w:val="20"/>
                <w:lang w:eastAsia="en-GB"/>
              </w:rPr>
              <w:t xml:space="preserve"> </w:t>
            </w:r>
            <w:r w:rsidRPr="00FB4EF5">
              <w:rPr>
                <w:rFonts w:eastAsia="Times New Roman"/>
                <w:szCs w:val="20"/>
                <w:lang w:eastAsia="en-GB"/>
              </w:rPr>
              <w:t>products as compared to the previous 2016 EML with four hundred and forty five (445) medicines/</w:t>
            </w:r>
            <w:r>
              <w:rPr>
                <w:rFonts w:eastAsia="Times New Roman"/>
                <w:szCs w:val="20"/>
                <w:lang w:eastAsia="en-GB"/>
              </w:rPr>
              <w:t xml:space="preserve"> </w:t>
            </w:r>
            <w:r w:rsidRPr="00FB4EF5">
              <w:rPr>
                <w:rFonts w:eastAsia="Times New Roman"/>
                <w:szCs w:val="20"/>
                <w:lang w:eastAsia="en-GB"/>
              </w:rPr>
              <w:t xml:space="preserve">products. The revision also made categorization of antibiotics based on WHO AWARE categorization into Access, Watched and Reserved Groups. It is the </w:t>
            </w:r>
            <w:r w:rsidRPr="00FB4EF5">
              <w:rPr>
                <w:rFonts w:eastAsia="Times New Roman"/>
                <w:iCs/>
                <w:szCs w:val="20"/>
                <w:lang w:eastAsia="en-GB"/>
              </w:rPr>
              <w:t>first step for ensuring access to the most needed antibiotics, and for improving their rational use to minimize the risk of microbial resistance and to maintain their efficacy.</w:t>
            </w:r>
          </w:p>
        </w:tc>
        <w:tc>
          <w:tcPr>
            <w:tcW w:w="1710" w:type="dxa"/>
            <w:vAlign w:val="center"/>
          </w:tcPr>
          <w:p w14:paraId="53ACF18A" w14:textId="77777777" w:rsidR="00786DD5" w:rsidRPr="00FB4EF5" w:rsidRDefault="00786DD5" w:rsidP="006C2A43">
            <w:pPr>
              <w:rPr>
                <w:rFonts w:eastAsia="Times New Roman"/>
                <w:szCs w:val="20"/>
                <w:lang w:eastAsia="en-GB"/>
              </w:rPr>
            </w:pPr>
            <w:r w:rsidRPr="00FB4EF5">
              <w:rPr>
                <w:rFonts w:eastAsia="Times New Roman"/>
                <w:szCs w:val="20"/>
                <w:lang w:eastAsia="en-GB"/>
              </w:rPr>
              <w:t>To ensure sustainable management of essential medicines and medical supplies</w:t>
            </w:r>
          </w:p>
        </w:tc>
        <w:tc>
          <w:tcPr>
            <w:tcW w:w="1530" w:type="dxa"/>
            <w:vAlign w:val="center"/>
          </w:tcPr>
          <w:p w14:paraId="2CBB2336" w14:textId="77777777" w:rsidR="00786DD5" w:rsidRPr="00FB4EF5" w:rsidRDefault="00786DD5" w:rsidP="006C2A43">
            <w:pPr>
              <w:rPr>
                <w:rFonts w:eastAsia="Times New Roman"/>
                <w:szCs w:val="20"/>
                <w:lang w:eastAsia="en-GB"/>
              </w:rPr>
            </w:pPr>
            <w:r w:rsidRPr="00FB4EF5">
              <w:rPr>
                <w:rFonts w:eastAsia="Times New Roman"/>
                <w:szCs w:val="20"/>
                <w:lang w:eastAsia="en-GB"/>
              </w:rPr>
              <w:t>WHO</w:t>
            </w:r>
          </w:p>
        </w:tc>
        <w:tc>
          <w:tcPr>
            <w:tcW w:w="1710" w:type="dxa"/>
            <w:vAlign w:val="center"/>
          </w:tcPr>
          <w:p w14:paraId="22428D8F" w14:textId="77777777" w:rsidR="00786DD5" w:rsidRPr="00FB4EF5" w:rsidRDefault="00786DD5" w:rsidP="006C2A43">
            <w:pPr>
              <w:rPr>
                <w:rFonts w:eastAsia="Times New Roman"/>
                <w:szCs w:val="20"/>
                <w:lang w:eastAsia="en-GB"/>
              </w:rPr>
            </w:pPr>
            <w:r w:rsidRPr="00FB4EF5">
              <w:rPr>
                <w:rFonts w:eastAsia="Times New Roman"/>
                <w:szCs w:val="20"/>
                <w:lang w:eastAsia="en-GB"/>
              </w:rPr>
              <w:t xml:space="preserve">Maldives Food and Drug Authority </w:t>
            </w:r>
          </w:p>
          <w:p w14:paraId="6E3D709A" w14:textId="77777777" w:rsidR="00786DD5" w:rsidRPr="00FB4EF5" w:rsidRDefault="00786DD5" w:rsidP="006C2A43">
            <w:pPr>
              <w:rPr>
                <w:rFonts w:eastAsia="Times New Roman"/>
                <w:szCs w:val="20"/>
                <w:lang w:eastAsia="en-GB"/>
              </w:rPr>
            </w:pPr>
          </w:p>
        </w:tc>
        <w:tc>
          <w:tcPr>
            <w:tcW w:w="1710" w:type="dxa"/>
            <w:vAlign w:val="center"/>
          </w:tcPr>
          <w:p w14:paraId="4615B2FD" w14:textId="77777777" w:rsidR="00786DD5" w:rsidRPr="00FB4EF5" w:rsidRDefault="00786DD5" w:rsidP="006C2A43">
            <w:pPr>
              <w:rPr>
                <w:rFonts w:eastAsia="Times New Roman"/>
                <w:szCs w:val="20"/>
                <w:lang w:eastAsia="en-GB"/>
              </w:rPr>
            </w:pPr>
            <w:r w:rsidRPr="00FB4EF5">
              <w:rPr>
                <w:rFonts w:eastAsia="Times New Roman"/>
                <w:szCs w:val="20"/>
                <w:lang w:eastAsia="en-GB"/>
              </w:rPr>
              <w:t>WHO</w:t>
            </w:r>
          </w:p>
          <w:p w14:paraId="4980753E" w14:textId="0BC26DD8" w:rsidR="00786DD5" w:rsidRPr="00FB4EF5" w:rsidRDefault="006F5C17" w:rsidP="006C2A43">
            <w:pPr>
              <w:rPr>
                <w:rFonts w:eastAsia="Times New Roman"/>
                <w:szCs w:val="20"/>
                <w:lang w:eastAsia="en-GB"/>
              </w:rPr>
            </w:pPr>
            <w:r>
              <w:rPr>
                <w:rFonts w:eastAsia="Times New Roman"/>
                <w:szCs w:val="20"/>
                <w:lang w:eastAsia="en-GB"/>
              </w:rPr>
              <w:t xml:space="preserve">USD </w:t>
            </w:r>
            <w:r w:rsidR="00786DD5" w:rsidRPr="00FB4EF5">
              <w:rPr>
                <w:rFonts w:eastAsia="Times New Roman"/>
                <w:szCs w:val="20"/>
                <w:lang w:eastAsia="en-GB"/>
              </w:rPr>
              <w:t>25,000</w:t>
            </w:r>
          </w:p>
        </w:tc>
        <w:tc>
          <w:tcPr>
            <w:tcW w:w="1890" w:type="dxa"/>
            <w:vAlign w:val="center"/>
          </w:tcPr>
          <w:p w14:paraId="601EA37D" w14:textId="77777777" w:rsidR="00786DD5" w:rsidRPr="00FB4EF5" w:rsidRDefault="00786DD5" w:rsidP="006C2A43">
            <w:pPr>
              <w:rPr>
                <w:rFonts w:eastAsia="Times New Roman"/>
                <w:color w:val="000000" w:themeColor="text1"/>
                <w:szCs w:val="20"/>
                <w:lang w:eastAsia="en-GB"/>
              </w:rPr>
            </w:pPr>
            <w:r w:rsidRPr="00FB4EF5">
              <w:rPr>
                <w:rFonts w:eastAsia="Times New Roman"/>
                <w:color w:val="000000" w:themeColor="text1"/>
                <w:szCs w:val="20"/>
                <w:lang w:eastAsia="en-GB"/>
              </w:rPr>
              <w:t>Ms. Aminath Fariha Mohamed</w:t>
            </w:r>
            <w:r>
              <w:rPr>
                <w:rFonts w:eastAsia="Times New Roman"/>
                <w:color w:val="000000" w:themeColor="text1"/>
                <w:szCs w:val="20"/>
                <w:lang w:eastAsia="en-GB"/>
              </w:rPr>
              <w:t xml:space="preserve"> </w:t>
            </w:r>
            <w:r w:rsidRPr="00FB4EF5">
              <w:rPr>
                <w:rFonts w:eastAsia="Times New Roman"/>
                <w:color w:val="000000" w:themeColor="text1"/>
                <w:szCs w:val="20"/>
                <w:lang w:eastAsia="en-GB"/>
              </w:rPr>
              <w:t>aminathm@who.int</w:t>
            </w:r>
          </w:p>
        </w:tc>
      </w:tr>
      <w:tr w:rsidR="00786DD5" w:rsidRPr="00FB4EF5" w14:paraId="11646C13" w14:textId="77777777" w:rsidTr="00786DD5">
        <w:trPr>
          <w:jc w:val="center"/>
        </w:trPr>
        <w:tc>
          <w:tcPr>
            <w:tcW w:w="2245" w:type="dxa"/>
            <w:vAlign w:val="center"/>
          </w:tcPr>
          <w:p w14:paraId="5A7CB4A0" w14:textId="77777777" w:rsidR="00786DD5" w:rsidRPr="005E70E7" w:rsidRDefault="00786DD5" w:rsidP="006C2A43">
            <w:pPr>
              <w:rPr>
                <w:rFonts w:eastAsia="Times New Roman"/>
                <w:color w:val="000000" w:themeColor="text1"/>
                <w:szCs w:val="20"/>
                <w:lang w:eastAsia="en-GB"/>
              </w:rPr>
            </w:pPr>
            <w:r w:rsidRPr="005E70E7">
              <w:rPr>
                <w:color w:val="000000" w:themeColor="text1"/>
                <w:szCs w:val="20"/>
                <w:lang w:eastAsia="en-GB"/>
              </w:rPr>
              <w:t>UNDP Climate Promise initiative to support countries with their NDCs</w:t>
            </w:r>
          </w:p>
        </w:tc>
        <w:tc>
          <w:tcPr>
            <w:tcW w:w="3330" w:type="dxa"/>
            <w:vAlign w:val="center"/>
          </w:tcPr>
          <w:p w14:paraId="7D2A4958" w14:textId="77777777" w:rsidR="00786DD5" w:rsidRPr="005E70E7" w:rsidRDefault="00786DD5" w:rsidP="006C2A43">
            <w:pPr>
              <w:rPr>
                <w:rFonts w:eastAsiaTheme="minorHAnsi" w:cs="Calibri"/>
                <w:color w:val="000000" w:themeColor="text1"/>
                <w:szCs w:val="20"/>
                <w:lang w:eastAsia="en-GB"/>
              </w:rPr>
            </w:pPr>
            <w:r w:rsidRPr="005E70E7">
              <w:rPr>
                <w:b/>
                <w:bCs/>
                <w:color w:val="000000" w:themeColor="text1"/>
                <w:szCs w:val="20"/>
                <w:lang w:eastAsia="en-GB"/>
              </w:rPr>
              <w:t>Build</w:t>
            </w:r>
            <w:r w:rsidRPr="005E70E7">
              <w:rPr>
                <w:color w:val="000000" w:themeColor="text1"/>
                <w:szCs w:val="20"/>
                <w:lang w:eastAsia="en-GB"/>
              </w:rPr>
              <w:t xml:space="preserve"> political will and societal ownership at national and sub-national levels</w:t>
            </w:r>
          </w:p>
          <w:p w14:paraId="5A4CB266" w14:textId="77777777" w:rsidR="00786DD5" w:rsidRPr="005E70E7" w:rsidRDefault="00786DD5" w:rsidP="006C2A43">
            <w:pPr>
              <w:rPr>
                <w:color w:val="000000" w:themeColor="text1"/>
                <w:szCs w:val="20"/>
                <w:lang w:eastAsia="en-GB"/>
              </w:rPr>
            </w:pPr>
            <w:r w:rsidRPr="005E70E7">
              <w:rPr>
                <w:b/>
                <w:bCs/>
                <w:color w:val="000000" w:themeColor="text1"/>
                <w:szCs w:val="20"/>
                <w:lang w:eastAsia="en-GB"/>
              </w:rPr>
              <w:lastRenderedPageBreak/>
              <w:t>Review</w:t>
            </w:r>
            <w:r w:rsidRPr="005E70E7">
              <w:rPr>
                <w:color w:val="000000" w:themeColor="text1"/>
                <w:szCs w:val="20"/>
                <w:lang w:eastAsia="en-GB"/>
              </w:rPr>
              <w:t>, align, and update existing targets, policies and measures</w:t>
            </w:r>
          </w:p>
          <w:p w14:paraId="4B64CF97" w14:textId="77777777" w:rsidR="00786DD5" w:rsidRPr="005E70E7" w:rsidRDefault="00786DD5" w:rsidP="006C2A43">
            <w:pPr>
              <w:rPr>
                <w:color w:val="000000" w:themeColor="text1"/>
                <w:szCs w:val="20"/>
                <w:lang w:eastAsia="en-GB"/>
              </w:rPr>
            </w:pPr>
            <w:r w:rsidRPr="005E70E7">
              <w:rPr>
                <w:b/>
                <w:bCs/>
                <w:color w:val="000000" w:themeColor="text1"/>
                <w:szCs w:val="20"/>
                <w:lang w:eastAsia="en-GB"/>
              </w:rPr>
              <w:t>Incorporate</w:t>
            </w:r>
            <w:r w:rsidRPr="005E70E7">
              <w:rPr>
                <w:color w:val="000000" w:themeColor="text1"/>
                <w:szCs w:val="20"/>
                <w:lang w:eastAsia="en-GB"/>
              </w:rPr>
              <w:t xml:space="preserve"> new sectors and/or greenhouse gases</w:t>
            </w:r>
          </w:p>
          <w:p w14:paraId="757CBA34" w14:textId="77777777" w:rsidR="00786DD5" w:rsidRPr="005E70E7" w:rsidRDefault="00786DD5" w:rsidP="006C2A43">
            <w:pPr>
              <w:rPr>
                <w:color w:val="000000" w:themeColor="text1"/>
                <w:szCs w:val="20"/>
                <w:lang w:eastAsia="en-GB"/>
              </w:rPr>
            </w:pPr>
            <w:r w:rsidRPr="005E70E7">
              <w:rPr>
                <w:b/>
                <w:bCs/>
                <w:color w:val="000000" w:themeColor="text1"/>
                <w:szCs w:val="20"/>
                <w:lang w:eastAsia="en-GB"/>
              </w:rPr>
              <w:t>Assess</w:t>
            </w:r>
            <w:r w:rsidRPr="005E70E7">
              <w:rPr>
                <w:color w:val="000000" w:themeColor="text1"/>
                <w:szCs w:val="20"/>
                <w:lang w:eastAsia="en-GB"/>
              </w:rPr>
              <w:t xml:space="preserve"> costs and investment opportunities</w:t>
            </w:r>
          </w:p>
          <w:p w14:paraId="4D0061BD" w14:textId="77777777" w:rsidR="00786DD5" w:rsidRPr="005E70E7" w:rsidRDefault="00786DD5" w:rsidP="006C2A43">
            <w:pPr>
              <w:rPr>
                <w:rFonts w:eastAsia="Times New Roman"/>
                <w:color w:val="000000" w:themeColor="text1"/>
                <w:szCs w:val="20"/>
                <w:lang w:eastAsia="en-GB"/>
              </w:rPr>
            </w:pPr>
            <w:r w:rsidRPr="005E70E7">
              <w:rPr>
                <w:b/>
                <w:bCs/>
                <w:color w:val="000000" w:themeColor="text1"/>
                <w:szCs w:val="20"/>
                <w:lang w:eastAsia="en-GB"/>
              </w:rPr>
              <w:t>Monitor</w:t>
            </w:r>
            <w:r w:rsidRPr="005E70E7">
              <w:rPr>
                <w:color w:val="000000" w:themeColor="text1"/>
                <w:szCs w:val="20"/>
                <w:lang w:eastAsia="en-GB"/>
              </w:rPr>
              <w:t xml:space="preserve"> progress &amp; strengthen transparency</w:t>
            </w:r>
          </w:p>
        </w:tc>
        <w:tc>
          <w:tcPr>
            <w:tcW w:w="1710" w:type="dxa"/>
            <w:vAlign w:val="center"/>
          </w:tcPr>
          <w:p w14:paraId="22B26B73" w14:textId="77777777" w:rsidR="00786DD5" w:rsidRPr="005E70E7" w:rsidRDefault="00786DD5" w:rsidP="006C2A43">
            <w:pPr>
              <w:rPr>
                <w:rFonts w:eastAsia="Times New Roman"/>
                <w:color w:val="000000" w:themeColor="text1"/>
                <w:szCs w:val="20"/>
                <w:lang w:eastAsia="en-GB"/>
              </w:rPr>
            </w:pPr>
            <w:r w:rsidRPr="005E70E7">
              <w:rPr>
                <w:rFonts w:eastAsia="Times New Roman"/>
                <w:color w:val="000000" w:themeColor="text1"/>
                <w:szCs w:val="20"/>
                <w:lang w:eastAsia="en-GB"/>
              </w:rPr>
              <w:lastRenderedPageBreak/>
              <w:t>Output 2.2</w:t>
            </w:r>
          </w:p>
        </w:tc>
        <w:tc>
          <w:tcPr>
            <w:tcW w:w="1530" w:type="dxa"/>
            <w:vAlign w:val="center"/>
          </w:tcPr>
          <w:p w14:paraId="31D0E1D0" w14:textId="77777777" w:rsidR="00786DD5" w:rsidRPr="005E70E7" w:rsidRDefault="00786DD5" w:rsidP="006C2A43">
            <w:pPr>
              <w:rPr>
                <w:rFonts w:eastAsia="Times New Roman"/>
                <w:color w:val="000000" w:themeColor="text1"/>
                <w:szCs w:val="20"/>
                <w:lang w:eastAsia="en-GB"/>
              </w:rPr>
            </w:pPr>
            <w:r w:rsidRPr="005E70E7">
              <w:rPr>
                <w:rFonts w:eastAsia="Times New Roman"/>
                <w:color w:val="000000" w:themeColor="text1"/>
                <w:szCs w:val="20"/>
                <w:lang w:eastAsia="en-GB"/>
              </w:rPr>
              <w:t>UNDP</w:t>
            </w:r>
          </w:p>
        </w:tc>
        <w:tc>
          <w:tcPr>
            <w:tcW w:w="1710" w:type="dxa"/>
            <w:vAlign w:val="center"/>
          </w:tcPr>
          <w:p w14:paraId="3573A388" w14:textId="77777777" w:rsidR="00786DD5" w:rsidRPr="005E70E7" w:rsidRDefault="00786DD5" w:rsidP="006C2A43">
            <w:pPr>
              <w:rPr>
                <w:rFonts w:eastAsia="Times New Roman"/>
                <w:color w:val="000000" w:themeColor="text1"/>
                <w:szCs w:val="20"/>
                <w:lang w:eastAsia="en-GB"/>
              </w:rPr>
            </w:pPr>
            <w:r w:rsidRPr="005E70E7">
              <w:rPr>
                <w:rFonts w:eastAsia="Times New Roman"/>
                <w:color w:val="000000" w:themeColor="text1"/>
                <w:szCs w:val="20"/>
                <w:lang w:eastAsia="en-GB"/>
              </w:rPr>
              <w:t xml:space="preserve">Ministry of Environment </w:t>
            </w:r>
          </w:p>
        </w:tc>
        <w:tc>
          <w:tcPr>
            <w:tcW w:w="1710" w:type="dxa"/>
            <w:vAlign w:val="center"/>
          </w:tcPr>
          <w:p w14:paraId="30557060" w14:textId="688F3869" w:rsidR="00786DD5" w:rsidRPr="005E70E7" w:rsidRDefault="00786DD5" w:rsidP="006C2A43">
            <w:pPr>
              <w:rPr>
                <w:rFonts w:eastAsia="Times New Roman"/>
                <w:color w:val="000000" w:themeColor="text1"/>
                <w:szCs w:val="20"/>
                <w:lang w:eastAsia="en-GB"/>
              </w:rPr>
            </w:pPr>
            <w:r w:rsidRPr="005E70E7">
              <w:rPr>
                <w:color w:val="000000" w:themeColor="text1"/>
                <w:szCs w:val="20"/>
                <w:lang w:eastAsia="en-GB"/>
              </w:rPr>
              <w:t>US</w:t>
            </w:r>
            <w:r w:rsidR="006F5C17">
              <w:rPr>
                <w:color w:val="000000" w:themeColor="text1"/>
                <w:szCs w:val="20"/>
                <w:lang w:eastAsia="en-GB"/>
              </w:rPr>
              <w:t>D</w:t>
            </w:r>
            <w:r w:rsidRPr="005E70E7">
              <w:rPr>
                <w:color w:val="000000" w:themeColor="text1"/>
                <w:szCs w:val="20"/>
                <w:lang w:eastAsia="en-GB"/>
              </w:rPr>
              <w:t xml:space="preserve"> 200,000</w:t>
            </w:r>
          </w:p>
        </w:tc>
        <w:tc>
          <w:tcPr>
            <w:tcW w:w="1890" w:type="dxa"/>
            <w:vAlign w:val="center"/>
          </w:tcPr>
          <w:p w14:paraId="58C4CFCA" w14:textId="77777777" w:rsidR="00786DD5" w:rsidRPr="005E70E7" w:rsidRDefault="00786DD5" w:rsidP="006C2A43">
            <w:pPr>
              <w:rPr>
                <w:rStyle w:val="CommentReference"/>
                <w:sz w:val="20"/>
                <w:szCs w:val="20"/>
              </w:rPr>
            </w:pPr>
            <w:r w:rsidRPr="005E70E7">
              <w:rPr>
                <w:rStyle w:val="CommentReference"/>
                <w:color w:val="000000" w:themeColor="text1"/>
                <w:sz w:val="20"/>
                <w:szCs w:val="20"/>
              </w:rPr>
              <w:t>Ahmed.shifaz@undp.org</w:t>
            </w:r>
          </w:p>
        </w:tc>
      </w:tr>
      <w:tr w:rsidR="00786DD5" w:rsidRPr="005E70E7" w14:paraId="1DE01256" w14:textId="77777777" w:rsidTr="00786DD5">
        <w:tblPrEx>
          <w:jc w:val="left"/>
        </w:tblPrEx>
        <w:tc>
          <w:tcPr>
            <w:tcW w:w="2245" w:type="dxa"/>
            <w:hideMark/>
          </w:tcPr>
          <w:p w14:paraId="5492D9C3" w14:textId="77777777" w:rsidR="00786DD5" w:rsidRPr="005E70E7" w:rsidRDefault="00786DD5" w:rsidP="006C2A43">
            <w:pPr>
              <w:rPr>
                <w:rFonts w:eastAsia="Times New Roman"/>
                <w:color w:val="000000" w:themeColor="text1"/>
                <w:szCs w:val="20"/>
                <w:lang w:eastAsia="en-GB"/>
              </w:rPr>
            </w:pPr>
            <w:r w:rsidRPr="005E70E7">
              <w:rPr>
                <w:color w:val="000000" w:themeColor="text1"/>
                <w:szCs w:val="20"/>
              </w:rPr>
              <w:t>Supporting vulnerable communities in Maldives to manage climate change induced water shortages</w:t>
            </w:r>
          </w:p>
        </w:tc>
        <w:tc>
          <w:tcPr>
            <w:tcW w:w="3330" w:type="dxa"/>
            <w:hideMark/>
          </w:tcPr>
          <w:p w14:paraId="20B8E4E9" w14:textId="77777777" w:rsidR="00786DD5" w:rsidRPr="005E70E7" w:rsidRDefault="00786DD5" w:rsidP="006C2A43">
            <w:pPr>
              <w:rPr>
                <w:rFonts w:eastAsia="Times New Roman"/>
                <w:color w:val="000000" w:themeColor="text1"/>
                <w:szCs w:val="20"/>
                <w:lang w:eastAsia="en-GB"/>
              </w:rPr>
            </w:pPr>
            <w:r w:rsidRPr="005E70E7">
              <w:rPr>
                <w:color w:val="000000" w:themeColor="text1"/>
                <w:szCs w:val="20"/>
              </w:rPr>
              <w:t>1.3 Install and operationalize four RO desalination water plants in four islands, using a grid-tied and/or off grid solar PV technology to provide backup capacity in times of water stress</w:t>
            </w:r>
          </w:p>
        </w:tc>
        <w:tc>
          <w:tcPr>
            <w:tcW w:w="1710" w:type="dxa"/>
            <w:hideMark/>
          </w:tcPr>
          <w:p w14:paraId="703274AA" w14:textId="77777777" w:rsidR="00786DD5" w:rsidRPr="005E70E7" w:rsidRDefault="00786DD5" w:rsidP="006C2A43">
            <w:pPr>
              <w:rPr>
                <w:rFonts w:eastAsia="Times New Roman"/>
                <w:color w:val="000000" w:themeColor="text1"/>
                <w:szCs w:val="20"/>
                <w:lang w:eastAsia="en-GB"/>
              </w:rPr>
            </w:pPr>
            <w:r w:rsidRPr="005E70E7">
              <w:rPr>
                <w:color w:val="000000" w:themeColor="text1"/>
                <w:szCs w:val="20"/>
              </w:rPr>
              <w:t>Output 2.2</w:t>
            </w:r>
          </w:p>
        </w:tc>
        <w:tc>
          <w:tcPr>
            <w:tcW w:w="1530" w:type="dxa"/>
            <w:hideMark/>
          </w:tcPr>
          <w:p w14:paraId="5AB29C89" w14:textId="77777777" w:rsidR="00786DD5" w:rsidRPr="005E70E7" w:rsidRDefault="00786DD5" w:rsidP="006C2A43">
            <w:pPr>
              <w:rPr>
                <w:rFonts w:eastAsia="Times New Roman"/>
                <w:color w:val="000000" w:themeColor="text1"/>
                <w:szCs w:val="20"/>
                <w:lang w:eastAsia="en-GB"/>
              </w:rPr>
            </w:pPr>
            <w:r w:rsidRPr="005E70E7">
              <w:rPr>
                <w:color w:val="000000" w:themeColor="text1"/>
                <w:szCs w:val="20"/>
              </w:rPr>
              <w:t>Ministry of Environment</w:t>
            </w:r>
          </w:p>
        </w:tc>
        <w:tc>
          <w:tcPr>
            <w:tcW w:w="1710" w:type="dxa"/>
            <w:hideMark/>
          </w:tcPr>
          <w:p w14:paraId="112C1A80" w14:textId="77777777" w:rsidR="00786DD5" w:rsidRPr="005E70E7" w:rsidRDefault="00786DD5" w:rsidP="006C2A43">
            <w:pPr>
              <w:rPr>
                <w:rFonts w:eastAsia="Times New Roman"/>
                <w:color w:val="000000" w:themeColor="text1"/>
                <w:szCs w:val="20"/>
                <w:lang w:eastAsia="en-GB"/>
              </w:rPr>
            </w:pPr>
            <w:r w:rsidRPr="005E70E7">
              <w:rPr>
                <w:color w:val="000000" w:themeColor="text1"/>
                <w:szCs w:val="20"/>
              </w:rPr>
              <w:t>UNDP (Accredited Entity)</w:t>
            </w:r>
          </w:p>
        </w:tc>
        <w:tc>
          <w:tcPr>
            <w:tcW w:w="1710" w:type="dxa"/>
            <w:hideMark/>
          </w:tcPr>
          <w:p w14:paraId="64015519" w14:textId="30AB5699" w:rsidR="00786DD5" w:rsidRPr="005E70E7" w:rsidRDefault="00786DD5" w:rsidP="006C2A43">
            <w:pPr>
              <w:rPr>
                <w:rFonts w:eastAsiaTheme="minorHAnsi" w:cs="Calibri"/>
                <w:color w:val="000000" w:themeColor="text1"/>
                <w:szCs w:val="20"/>
              </w:rPr>
            </w:pPr>
            <w:r w:rsidRPr="005E70E7">
              <w:rPr>
                <w:color w:val="000000" w:themeColor="text1"/>
                <w:szCs w:val="20"/>
              </w:rPr>
              <w:t>136,900.13</w:t>
            </w:r>
            <w:r w:rsidR="006F5C17">
              <w:rPr>
                <w:color w:val="000000" w:themeColor="text1"/>
                <w:szCs w:val="20"/>
              </w:rPr>
              <w:t xml:space="preserve"> USD</w:t>
            </w:r>
          </w:p>
          <w:p w14:paraId="222A8D8E" w14:textId="77777777" w:rsidR="00786DD5" w:rsidRPr="005E70E7" w:rsidRDefault="00786DD5" w:rsidP="006C2A43">
            <w:pPr>
              <w:rPr>
                <w:rFonts w:eastAsia="Times New Roman"/>
                <w:color w:val="000000" w:themeColor="text1"/>
                <w:szCs w:val="20"/>
                <w:lang w:eastAsia="en-GB"/>
              </w:rPr>
            </w:pPr>
            <w:r w:rsidRPr="005E70E7">
              <w:rPr>
                <w:color w:val="000000" w:themeColor="text1"/>
                <w:szCs w:val="20"/>
              </w:rPr>
              <w:t>Green Climate Fund</w:t>
            </w:r>
          </w:p>
        </w:tc>
        <w:tc>
          <w:tcPr>
            <w:tcW w:w="1890" w:type="dxa"/>
          </w:tcPr>
          <w:p w14:paraId="55854286" w14:textId="77777777" w:rsidR="00786DD5" w:rsidRPr="004A1F2C" w:rsidRDefault="00FE1EAC" w:rsidP="006C2A43">
            <w:pPr>
              <w:rPr>
                <w:rStyle w:val="CommentReference"/>
                <w:rFonts w:eastAsiaTheme="minorHAnsi" w:cs="Calibri"/>
                <w:sz w:val="20"/>
                <w:szCs w:val="20"/>
              </w:rPr>
            </w:pPr>
            <w:hyperlink r:id="rId63" w:history="1">
              <w:r w:rsidR="00786DD5" w:rsidRPr="00790E58">
                <w:rPr>
                  <w:rStyle w:val="Hyperlink"/>
                  <w:color w:val="000000" w:themeColor="text1"/>
                  <w:szCs w:val="20"/>
                  <w:u w:val="none"/>
                </w:rPr>
                <w:t>aysha.solih@undp.org</w:t>
              </w:r>
            </w:hyperlink>
          </w:p>
          <w:p w14:paraId="7455E286" w14:textId="77777777" w:rsidR="00786DD5" w:rsidRPr="005E70E7" w:rsidRDefault="00786DD5" w:rsidP="006C2A43">
            <w:pPr>
              <w:rPr>
                <w:rStyle w:val="CommentReference"/>
                <w:color w:val="000000" w:themeColor="text1"/>
                <w:sz w:val="20"/>
                <w:szCs w:val="20"/>
              </w:rPr>
            </w:pPr>
          </w:p>
        </w:tc>
      </w:tr>
      <w:tr w:rsidR="00786DD5" w:rsidRPr="005E70E7" w14:paraId="05D40121" w14:textId="77777777" w:rsidTr="00786DD5">
        <w:tblPrEx>
          <w:jc w:val="left"/>
        </w:tblPrEx>
        <w:tc>
          <w:tcPr>
            <w:tcW w:w="2245" w:type="dxa"/>
            <w:hideMark/>
          </w:tcPr>
          <w:p w14:paraId="382C3732" w14:textId="77777777" w:rsidR="00786DD5" w:rsidRPr="005E70E7" w:rsidRDefault="00786DD5" w:rsidP="006C2A43">
            <w:pPr>
              <w:rPr>
                <w:rFonts w:eastAsia="Times New Roman"/>
                <w:color w:val="000000" w:themeColor="text1"/>
                <w:szCs w:val="20"/>
                <w:lang w:eastAsia="en-GB"/>
              </w:rPr>
            </w:pPr>
            <w:r w:rsidRPr="005E70E7">
              <w:rPr>
                <w:rFonts w:eastAsia="Times New Roman"/>
                <w:color w:val="000000" w:themeColor="text1"/>
                <w:szCs w:val="20"/>
                <w:lang w:eastAsia="en-GB"/>
              </w:rPr>
              <w:t xml:space="preserve">Technical support to the formulation and roll out of the Strategic Action Plan </w:t>
            </w:r>
          </w:p>
        </w:tc>
        <w:tc>
          <w:tcPr>
            <w:tcW w:w="3330" w:type="dxa"/>
            <w:hideMark/>
          </w:tcPr>
          <w:p w14:paraId="134E5DB9" w14:textId="77777777" w:rsidR="00786DD5" w:rsidRPr="005E70E7" w:rsidRDefault="00786DD5" w:rsidP="006C2A43">
            <w:pPr>
              <w:rPr>
                <w:rFonts w:eastAsia="Times New Roman"/>
                <w:color w:val="000000" w:themeColor="text1"/>
                <w:szCs w:val="20"/>
                <w:lang w:eastAsia="en-GB"/>
              </w:rPr>
            </w:pPr>
            <w:r w:rsidRPr="005E70E7">
              <w:rPr>
                <w:rFonts w:eastAsia="Times New Roman"/>
                <w:color w:val="000000" w:themeColor="text1"/>
                <w:szCs w:val="20"/>
                <w:lang w:eastAsia="en-GB"/>
              </w:rPr>
              <w:t xml:space="preserve">SAP document </w:t>
            </w:r>
          </w:p>
          <w:p w14:paraId="406E2C8B" w14:textId="77777777" w:rsidR="00786DD5" w:rsidRPr="005E70E7" w:rsidRDefault="00786DD5" w:rsidP="006C2A43">
            <w:pPr>
              <w:rPr>
                <w:rFonts w:eastAsia="Times New Roman"/>
                <w:color w:val="000000" w:themeColor="text1"/>
                <w:szCs w:val="20"/>
                <w:lang w:eastAsia="en-GB"/>
              </w:rPr>
            </w:pPr>
            <w:r w:rsidRPr="005E70E7">
              <w:rPr>
                <w:rFonts w:eastAsia="Times New Roman"/>
                <w:color w:val="000000" w:themeColor="text1"/>
                <w:szCs w:val="20"/>
                <w:lang w:eastAsia="en-GB"/>
              </w:rPr>
              <w:t>Monitoring templates</w:t>
            </w:r>
            <w:r>
              <w:rPr>
                <w:rFonts w:eastAsia="Times New Roman"/>
                <w:color w:val="000000" w:themeColor="text1"/>
                <w:szCs w:val="20"/>
                <w:lang w:eastAsia="en-GB"/>
              </w:rPr>
              <w:t>.</w:t>
            </w:r>
          </w:p>
          <w:p w14:paraId="5DAF9C06" w14:textId="77777777" w:rsidR="00786DD5" w:rsidRPr="005E70E7" w:rsidRDefault="00786DD5" w:rsidP="006C2A43">
            <w:pPr>
              <w:rPr>
                <w:rFonts w:eastAsia="Times New Roman"/>
                <w:color w:val="000000" w:themeColor="text1"/>
                <w:szCs w:val="20"/>
                <w:lang w:eastAsia="en-GB"/>
              </w:rPr>
            </w:pPr>
            <w:r w:rsidRPr="005E70E7">
              <w:rPr>
                <w:rFonts w:eastAsia="Times New Roman"/>
                <w:color w:val="000000" w:themeColor="text1"/>
                <w:szCs w:val="20"/>
                <w:lang w:eastAsia="en-GB"/>
              </w:rPr>
              <w:t>Training delivered to SAP managers</w:t>
            </w:r>
            <w:r>
              <w:rPr>
                <w:rFonts w:eastAsia="Times New Roman"/>
                <w:color w:val="000000" w:themeColor="text1"/>
                <w:szCs w:val="20"/>
                <w:lang w:eastAsia="en-GB"/>
              </w:rPr>
              <w:t>.</w:t>
            </w:r>
            <w:r w:rsidRPr="005E70E7">
              <w:rPr>
                <w:rFonts w:eastAsia="Times New Roman"/>
                <w:color w:val="000000" w:themeColor="text1"/>
                <w:szCs w:val="20"/>
                <w:lang w:eastAsia="en-GB"/>
              </w:rPr>
              <w:t xml:space="preserve"> </w:t>
            </w:r>
          </w:p>
          <w:p w14:paraId="35016F9E" w14:textId="77777777" w:rsidR="00786DD5" w:rsidRPr="005E70E7" w:rsidRDefault="00786DD5" w:rsidP="006C2A43">
            <w:pPr>
              <w:rPr>
                <w:rFonts w:eastAsia="Times New Roman"/>
                <w:color w:val="000000" w:themeColor="text1"/>
                <w:szCs w:val="20"/>
                <w:lang w:eastAsia="en-GB"/>
              </w:rPr>
            </w:pPr>
            <w:r w:rsidRPr="005E70E7">
              <w:rPr>
                <w:rFonts w:eastAsia="Times New Roman"/>
                <w:color w:val="000000" w:themeColor="text1"/>
                <w:szCs w:val="20"/>
                <w:lang w:eastAsia="en-GB"/>
              </w:rPr>
              <w:t>Advisory support to Policy Office</w:t>
            </w:r>
            <w:r>
              <w:rPr>
                <w:rFonts w:eastAsia="Times New Roman"/>
                <w:color w:val="000000" w:themeColor="text1"/>
                <w:szCs w:val="20"/>
                <w:lang w:eastAsia="en-GB"/>
              </w:rPr>
              <w:t>.</w:t>
            </w:r>
            <w:r w:rsidRPr="005E70E7">
              <w:rPr>
                <w:rFonts w:eastAsia="Times New Roman"/>
                <w:color w:val="000000" w:themeColor="text1"/>
                <w:szCs w:val="20"/>
                <w:lang w:eastAsia="en-GB"/>
              </w:rPr>
              <w:t xml:space="preserve"> </w:t>
            </w:r>
          </w:p>
        </w:tc>
        <w:tc>
          <w:tcPr>
            <w:tcW w:w="1710" w:type="dxa"/>
            <w:hideMark/>
          </w:tcPr>
          <w:p w14:paraId="1323C749" w14:textId="77777777" w:rsidR="00786DD5" w:rsidRPr="005E70E7" w:rsidRDefault="00786DD5" w:rsidP="006C2A43">
            <w:pPr>
              <w:rPr>
                <w:rFonts w:eastAsia="Times New Roman"/>
                <w:color w:val="000000" w:themeColor="text1"/>
                <w:szCs w:val="20"/>
                <w:lang w:eastAsia="en-GB"/>
              </w:rPr>
            </w:pPr>
            <w:r w:rsidRPr="005E70E7">
              <w:rPr>
                <w:rFonts w:eastAsia="Times New Roman"/>
                <w:color w:val="000000" w:themeColor="text1"/>
                <w:szCs w:val="20"/>
                <w:lang w:eastAsia="en-GB"/>
              </w:rPr>
              <w:t xml:space="preserve">Output 1.1 </w:t>
            </w:r>
          </w:p>
        </w:tc>
        <w:tc>
          <w:tcPr>
            <w:tcW w:w="1530" w:type="dxa"/>
            <w:hideMark/>
          </w:tcPr>
          <w:p w14:paraId="5EA0E88D" w14:textId="77777777" w:rsidR="00786DD5" w:rsidRPr="005E70E7" w:rsidRDefault="00786DD5" w:rsidP="006C2A43">
            <w:pPr>
              <w:rPr>
                <w:rFonts w:eastAsia="Times New Roman"/>
                <w:color w:val="000000" w:themeColor="text1"/>
                <w:szCs w:val="20"/>
                <w:lang w:eastAsia="en-GB"/>
              </w:rPr>
            </w:pPr>
            <w:r w:rsidRPr="005E70E7">
              <w:rPr>
                <w:rFonts w:eastAsia="Times New Roman"/>
                <w:color w:val="000000" w:themeColor="text1"/>
                <w:szCs w:val="20"/>
                <w:lang w:eastAsia="en-GB"/>
              </w:rPr>
              <w:t xml:space="preserve">UNDP </w:t>
            </w:r>
          </w:p>
        </w:tc>
        <w:tc>
          <w:tcPr>
            <w:tcW w:w="1710" w:type="dxa"/>
            <w:hideMark/>
          </w:tcPr>
          <w:p w14:paraId="5E06496E" w14:textId="77777777" w:rsidR="00786DD5" w:rsidRPr="005E70E7" w:rsidRDefault="00786DD5" w:rsidP="006C2A43">
            <w:pPr>
              <w:rPr>
                <w:rFonts w:eastAsia="Times New Roman"/>
                <w:color w:val="000000" w:themeColor="text1"/>
                <w:szCs w:val="20"/>
                <w:lang w:eastAsia="en-GB"/>
              </w:rPr>
            </w:pPr>
            <w:r w:rsidRPr="005E70E7">
              <w:rPr>
                <w:rFonts w:eastAsia="Times New Roman"/>
                <w:color w:val="000000" w:themeColor="text1"/>
                <w:szCs w:val="20"/>
                <w:lang w:eastAsia="en-GB"/>
              </w:rPr>
              <w:t xml:space="preserve">Policy Office, President’s Office of the Government of Maldives </w:t>
            </w:r>
          </w:p>
        </w:tc>
        <w:tc>
          <w:tcPr>
            <w:tcW w:w="1710" w:type="dxa"/>
            <w:hideMark/>
          </w:tcPr>
          <w:p w14:paraId="323BE37E" w14:textId="2A156BC0" w:rsidR="00786DD5" w:rsidRPr="005E70E7" w:rsidRDefault="00786DD5" w:rsidP="006C2A43">
            <w:pPr>
              <w:rPr>
                <w:rFonts w:eastAsia="Times New Roman"/>
                <w:color w:val="000000" w:themeColor="text1"/>
                <w:szCs w:val="20"/>
                <w:lang w:eastAsia="en-GB"/>
              </w:rPr>
            </w:pPr>
            <w:r w:rsidRPr="005E70E7">
              <w:rPr>
                <w:rFonts w:eastAsia="Times New Roman"/>
                <w:color w:val="000000" w:themeColor="text1"/>
                <w:szCs w:val="20"/>
                <w:lang w:eastAsia="en-GB"/>
              </w:rPr>
              <w:t xml:space="preserve">110,000.00 </w:t>
            </w:r>
            <w:r w:rsidR="006F5C17">
              <w:rPr>
                <w:rFonts w:eastAsia="Times New Roman"/>
                <w:color w:val="000000" w:themeColor="text1"/>
                <w:szCs w:val="20"/>
                <w:lang w:eastAsia="en-GB"/>
              </w:rPr>
              <w:t>USD</w:t>
            </w:r>
          </w:p>
          <w:p w14:paraId="3E932D25" w14:textId="77777777" w:rsidR="00786DD5" w:rsidRPr="005E70E7" w:rsidRDefault="00786DD5" w:rsidP="006C2A43">
            <w:pPr>
              <w:rPr>
                <w:rFonts w:eastAsia="Times New Roman"/>
                <w:color w:val="000000" w:themeColor="text1"/>
                <w:szCs w:val="20"/>
                <w:lang w:eastAsia="en-GB"/>
              </w:rPr>
            </w:pPr>
            <w:r w:rsidRPr="005E70E7">
              <w:rPr>
                <w:rFonts w:eastAsia="Times New Roman"/>
                <w:color w:val="000000" w:themeColor="text1"/>
                <w:szCs w:val="20"/>
                <w:lang w:eastAsia="en-GB"/>
              </w:rPr>
              <w:t>UNDP</w:t>
            </w:r>
          </w:p>
        </w:tc>
        <w:tc>
          <w:tcPr>
            <w:tcW w:w="1890" w:type="dxa"/>
            <w:hideMark/>
          </w:tcPr>
          <w:p w14:paraId="2F37AC26" w14:textId="48DB08E7" w:rsidR="00786DD5" w:rsidRPr="005E70E7" w:rsidRDefault="0069444D" w:rsidP="006C2A43">
            <w:pPr>
              <w:rPr>
                <w:rStyle w:val="CommentReference"/>
                <w:sz w:val="20"/>
                <w:szCs w:val="20"/>
              </w:rPr>
            </w:pPr>
            <w:r w:rsidRPr="0069444D">
              <w:rPr>
                <w:rStyle w:val="CommentReference"/>
                <w:color w:val="000000" w:themeColor="text1"/>
                <w:sz w:val="20"/>
                <w:szCs w:val="20"/>
              </w:rPr>
              <w:t>yasmeen.rasheed@undp.org</w:t>
            </w:r>
          </w:p>
        </w:tc>
      </w:tr>
      <w:tr w:rsidR="00786DD5" w:rsidRPr="005E70E7" w14:paraId="34FF2D20" w14:textId="77777777" w:rsidTr="00786DD5">
        <w:trPr>
          <w:jc w:val="center"/>
        </w:trPr>
        <w:tc>
          <w:tcPr>
            <w:tcW w:w="2245" w:type="dxa"/>
            <w:vAlign w:val="center"/>
          </w:tcPr>
          <w:p w14:paraId="313C01DE" w14:textId="77777777" w:rsidR="00786DD5" w:rsidRPr="005E70E7" w:rsidRDefault="00786DD5" w:rsidP="006C2A43">
            <w:pPr>
              <w:rPr>
                <w:rFonts w:eastAsia="Times New Roman"/>
                <w:color w:val="000000" w:themeColor="text1"/>
                <w:szCs w:val="20"/>
                <w:lang w:eastAsia="en-GB"/>
              </w:rPr>
            </w:pPr>
            <w:r w:rsidRPr="005E70E7">
              <w:rPr>
                <w:rFonts w:eastAsia="Times New Roman"/>
                <w:color w:val="000000" w:themeColor="text1"/>
                <w:szCs w:val="20"/>
                <w:lang w:eastAsia="en-GB"/>
              </w:rPr>
              <w:t>SDG Mapping against SAP the Strategic Action Plan</w:t>
            </w:r>
          </w:p>
        </w:tc>
        <w:tc>
          <w:tcPr>
            <w:tcW w:w="3330" w:type="dxa"/>
            <w:vAlign w:val="center"/>
          </w:tcPr>
          <w:p w14:paraId="662061EF" w14:textId="77777777" w:rsidR="00786DD5" w:rsidRPr="005E70E7" w:rsidRDefault="00786DD5" w:rsidP="006C2A43">
            <w:pPr>
              <w:rPr>
                <w:rFonts w:eastAsia="Times New Roman"/>
                <w:color w:val="000000" w:themeColor="text1"/>
                <w:szCs w:val="20"/>
                <w:lang w:eastAsia="en-GB"/>
              </w:rPr>
            </w:pPr>
            <w:r w:rsidRPr="005E70E7">
              <w:rPr>
                <w:rFonts w:eastAsia="Times New Roman"/>
                <w:color w:val="000000" w:themeColor="text1"/>
                <w:szCs w:val="20"/>
                <w:lang w:eastAsia="en-GB"/>
              </w:rPr>
              <w:t xml:space="preserve">A report and analysis showing the level of alignment, coverage and level ambition of SDGs in the Government of Maldives Medium Term Development Plan, SAP. </w:t>
            </w:r>
          </w:p>
        </w:tc>
        <w:tc>
          <w:tcPr>
            <w:tcW w:w="1710" w:type="dxa"/>
            <w:vAlign w:val="center"/>
          </w:tcPr>
          <w:p w14:paraId="035A0830" w14:textId="77777777" w:rsidR="00786DD5" w:rsidRPr="005E70E7" w:rsidRDefault="00786DD5" w:rsidP="006C2A43">
            <w:pPr>
              <w:rPr>
                <w:rFonts w:eastAsia="Times New Roman"/>
                <w:color w:val="000000" w:themeColor="text1"/>
                <w:szCs w:val="20"/>
                <w:lang w:eastAsia="en-GB"/>
              </w:rPr>
            </w:pPr>
            <w:r w:rsidRPr="005E70E7">
              <w:rPr>
                <w:rFonts w:eastAsia="Times New Roman"/>
                <w:color w:val="000000" w:themeColor="text1"/>
                <w:szCs w:val="20"/>
                <w:lang w:eastAsia="en-GB"/>
              </w:rPr>
              <w:t>Output 1.1</w:t>
            </w:r>
          </w:p>
        </w:tc>
        <w:tc>
          <w:tcPr>
            <w:tcW w:w="1530" w:type="dxa"/>
            <w:vAlign w:val="center"/>
          </w:tcPr>
          <w:p w14:paraId="2FF8BE4E" w14:textId="77777777" w:rsidR="00786DD5" w:rsidRPr="005E70E7" w:rsidRDefault="00786DD5" w:rsidP="006C2A43">
            <w:pPr>
              <w:rPr>
                <w:rFonts w:eastAsia="Times New Roman"/>
                <w:color w:val="000000" w:themeColor="text1"/>
                <w:szCs w:val="20"/>
                <w:lang w:eastAsia="en-GB"/>
              </w:rPr>
            </w:pPr>
            <w:r w:rsidRPr="005E70E7">
              <w:rPr>
                <w:rFonts w:eastAsia="Times New Roman"/>
                <w:color w:val="000000" w:themeColor="text1"/>
                <w:szCs w:val="20"/>
                <w:lang w:eastAsia="en-GB"/>
              </w:rPr>
              <w:t>UNDP</w:t>
            </w:r>
          </w:p>
        </w:tc>
        <w:tc>
          <w:tcPr>
            <w:tcW w:w="1710" w:type="dxa"/>
            <w:vAlign w:val="center"/>
          </w:tcPr>
          <w:p w14:paraId="74A977E5" w14:textId="77777777" w:rsidR="00786DD5" w:rsidRPr="005E70E7" w:rsidRDefault="00786DD5" w:rsidP="006C2A43">
            <w:pPr>
              <w:rPr>
                <w:rFonts w:eastAsia="Times New Roman"/>
                <w:color w:val="000000" w:themeColor="text1"/>
                <w:szCs w:val="20"/>
                <w:lang w:eastAsia="en-GB"/>
              </w:rPr>
            </w:pPr>
            <w:r w:rsidRPr="005E70E7">
              <w:rPr>
                <w:rFonts w:eastAsia="Times New Roman"/>
                <w:color w:val="000000" w:themeColor="text1"/>
                <w:szCs w:val="20"/>
                <w:lang w:eastAsia="en-GB"/>
              </w:rPr>
              <w:t xml:space="preserve">President’s Office, SDG Unit and National Bureau of Statistics of the Ministry of National Planning and Infrastructure and line ministries. </w:t>
            </w:r>
          </w:p>
          <w:p w14:paraId="246989EC" w14:textId="77777777" w:rsidR="00786DD5" w:rsidRPr="005E70E7" w:rsidRDefault="00786DD5" w:rsidP="006C2A43">
            <w:pPr>
              <w:rPr>
                <w:rFonts w:eastAsia="Times New Roman"/>
                <w:color w:val="000000" w:themeColor="text1"/>
                <w:szCs w:val="20"/>
                <w:lang w:eastAsia="en-GB"/>
              </w:rPr>
            </w:pPr>
          </w:p>
        </w:tc>
        <w:tc>
          <w:tcPr>
            <w:tcW w:w="1710" w:type="dxa"/>
            <w:vAlign w:val="center"/>
          </w:tcPr>
          <w:p w14:paraId="7FDCF4C7" w14:textId="4F49D4C9" w:rsidR="00786DD5" w:rsidRPr="005E70E7" w:rsidRDefault="00786DD5" w:rsidP="006C2A43">
            <w:pPr>
              <w:rPr>
                <w:rFonts w:eastAsia="Times New Roman"/>
                <w:color w:val="000000" w:themeColor="text1"/>
                <w:szCs w:val="20"/>
                <w:lang w:eastAsia="en-GB"/>
              </w:rPr>
            </w:pPr>
            <w:r w:rsidRPr="005E70E7">
              <w:rPr>
                <w:rFonts w:eastAsia="Times New Roman"/>
                <w:color w:val="000000" w:themeColor="text1"/>
                <w:szCs w:val="20"/>
                <w:lang w:eastAsia="en-GB"/>
              </w:rPr>
              <w:t>10,000.00</w:t>
            </w:r>
            <w:r w:rsidR="006F5C17">
              <w:rPr>
                <w:rFonts w:eastAsia="Times New Roman"/>
                <w:color w:val="000000" w:themeColor="text1"/>
                <w:szCs w:val="20"/>
                <w:lang w:eastAsia="en-GB"/>
              </w:rPr>
              <w:t xml:space="preserve"> USD</w:t>
            </w:r>
          </w:p>
          <w:p w14:paraId="5AA77286" w14:textId="77777777" w:rsidR="00786DD5" w:rsidRPr="005E70E7" w:rsidRDefault="00786DD5" w:rsidP="006C2A43">
            <w:pPr>
              <w:rPr>
                <w:rFonts w:eastAsia="Times New Roman"/>
                <w:color w:val="000000" w:themeColor="text1"/>
                <w:szCs w:val="20"/>
                <w:lang w:eastAsia="en-GB"/>
              </w:rPr>
            </w:pPr>
            <w:r w:rsidRPr="005E70E7">
              <w:rPr>
                <w:rFonts w:eastAsia="Times New Roman"/>
                <w:color w:val="000000" w:themeColor="text1"/>
                <w:szCs w:val="20"/>
                <w:lang w:eastAsia="en-GB"/>
              </w:rPr>
              <w:t xml:space="preserve">UNDP </w:t>
            </w:r>
          </w:p>
        </w:tc>
        <w:tc>
          <w:tcPr>
            <w:tcW w:w="1890" w:type="dxa"/>
            <w:vAlign w:val="center"/>
          </w:tcPr>
          <w:p w14:paraId="64E15ED0" w14:textId="15F17291" w:rsidR="00786DD5" w:rsidRPr="005E70E7" w:rsidRDefault="0069444D" w:rsidP="006C2A43">
            <w:pPr>
              <w:rPr>
                <w:rStyle w:val="CommentReference"/>
                <w:sz w:val="20"/>
                <w:szCs w:val="20"/>
              </w:rPr>
            </w:pPr>
            <w:r w:rsidRPr="0069444D">
              <w:rPr>
                <w:rStyle w:val="CommentReference"/>
                <w:color w:val="000000" w:themeColor="text1"/>
                <w:sz w:val="20"/>
                <w:szCs w:val="20"/>
              </w:rPr>
              <w:t>yasmeen.rasheed@undp.org</w:t>
            </w:r>
          </w:p>
        </w:tc>
      </w:tr>
      <w:tr w:rsidR="00786DD5" w:rsidRPr="005E70E7" w14:paraId="2692E180" w14:textId="77777777" w:rsidTr="00786DD5">
        <w:trPr>
          <w:jc w:val="center"/>
        </w:trPr>
        <w:tc>
          <w:tcPr>
            <w:tcW w:w="2245" w:type="dxa"/>
          </w:tcPr>
          <w:p w14:paraId="3C72FD1E" w14:textId="77777777" w:rsidR="00786DD5" w:rsidRPr="005E70E7"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t xml:space="preserve">Reproductive Maternal Newborn Child and </w:t>
            </w:r>
            <w:r w:rsidRPr="0043559F">
              <w:rPr>
                <w:rFonts w:eastAsia="Times New Roman"/>
                <w:color w:val="000000" w:themeColor="text1"/>
                <w:szCs w:val="20"/>
                <w:lang w:eastAsia="en-GB"/>
              </w:rPr>
              <w:lastRenderedPageBreak/>
              <w:t>Adolescent Health (RMNCAH) Strategy has been developed for the period 2020-2025</w:t>
            </w:r>
          </w:p>
        </w:tc>
        <w:tc>
          <w:tcPr>
            <w:tcW w:w="3330" w:type="dxa"/>
          </w:tcPr>
          <w:p w14:paraId="22652F3B" w14:textId="77777777" w:rsidR="00786DD5" w:rsidRPr="005E70E7"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lastRenderedPageBreak/>
              <w:t xml:space="preserve">A strategic framework on how the Ministry of Health and Health Protection Agency will </w:t>
            </w:r>
            <w:r w:rsidRPr="0043559F">
              <w:rPr>
                <w:rFonts w:eastAsia="Times New Roman"/>
                <w:color w:val="000000" w:themeColor="text1"/>
                <w:szCs w:val="20"/>
                <w:lang w:eastAsia="en-GB"/>
              </w:rPr>
              <w:lastRenderedPageBreak/>
              <w:t>address the health, nutritional status and wellbeing of women, newborns children and adolescents.</w:t>
            </w:r>
          </w:p>
        </w:tc>
        <w:tc>
          <w:tcPr>
            <w:tcW w:w="1710" w:type="dxa"/>
            <w:vAlign w:val="center"/>
          </w:tcPr>
          <w:p w14:paraId="1ED1C147" w14:textId="77777777" w:rsidR="00786DD5" w:rsidRPr="005E70E7"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lastRenderedPageBreak/>
              <w:t xml:space="preserve">Output 1.2 - Costing of social sector </w:t>
            </w:r>
            <w:r w:rsidRPr="0043559F">
              <w:rPr>
                <w:rFonts w:eastAsia="Times New Roman"/>
                <w:color w:val="000000" w:themeColor="text1"/>
                <w:szCs w:val="20"/>
                <w:lang w:eastAsia="en-GB"/>
              </w:rPr>
              <w:lastRenderedPageBreak/>
              <w:t>services with a focus on equity and redistribution</w:t>
            </w:r>
          </w:p>
        </w:tc>
        <w:tc>
          <w:tcPr>
            <w:tcW w:w="1530" w:type="dxa"/>
            <w:vAlign w:val="center"/>
          </w:tcPr>
          <w:p w14:paraId="6FF08846" w14:textId="77777777" w:rsidR="00786DD5" w:rsidRPr="005E70E7"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lastRenderedPageBreak/>
              <w:t>UNFPA</w:t>
            </w:r>
          </w:p>
        </w:tc>
        <w:tc>
          <w:tcPr>
            <w:tcW w:w="1710" w:type="dxa"/>
            <w:vAlign w:val="center"/>
          </w:tcPr>
          <w:p w14:paraId="79A8CA34" w14:textId="77777777" w:rsidR="00786DD5" w:rsidRPr="005E70E7"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t>Ministry of Health</w:t>
            </w:r>
          </w:p>
        </w:tc>
        <w:tc>
          <w:tcPr>
            <w:tcW w:w="1710" w:type="dxa"/>
            <w:vAlign w:val="center"/>
          </w:tcPr>
          <w:p w14:paraId="5B6238EE" w14:textId="77777777" w:rsidR="00786DD5" w:rsidRPr="0043559F"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t>2019:</w:t>
            </w:r>
          </w:p>
          <w:p w14:paraId="622EEF08" w14:textId="326195BB" w:rsidR="00786DD5" w:rsidRPr="0043559F"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t>27,763</w:t>
            </w:r>
            <w:r w:rsidR="006F5C17">
              <w:rPr>
                <w:rFonts w:eastAsia="Times New Roman"/>
                <w:color w:val="000000" w:themeColor="text1"/>
                <w:szCs w:val="20"/>
                <w:lang w:eastAsia="en-GB"/>
              </w:rPr>
              <w:t xml:space="preserve"> </w:t>
            </w:r>
            <w:r w:rsidR="006F5C17" w:rsidRPr="0043559F">
              <w:rPr>
                <w:rFonts w:eastAsia="Times New Roman"/>
                <w:color w:val="000000" w:themeColor="text1"/>
                <w:szCs w:val="20"/>
                <w:lang w:eastAsia="en-GB"/>
              </w:rPr>
              <w:t>USD</w:t>
            </w:r>
          </w:p>
          <w:p w14:paraId="3D94E750" w14:textId="77777777" w:rsidR="00786DD5" w:rsidRPr="0043559F" w:rsidRDefault="00786DD5" w:rsidP="006C2A43">
            <w:pPr>
              <w:rPr>
                <w:rFonts w:eastAsia="Times New Roman"/>
                <w:color w:val="000000" w:themeColor="text1"/>
                <w:szCs w:val="20"/>
                <w:lang w:eastAsia="en-GB"/>
              </w:rPr>
            </w:pPr>
          </w:p>
          <w:p w14:paraId="147AC700" w14:textId="77777777" w:rsidR="00786DD5" w:rsidRPr="0043559F"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lastRenderedPageBreak/>
              <w:t>2020:</w:t>
            </w:r>
          </w:p>
          <w:p w14:paraId="453103CC" w14:textId="6F554463" w:rsidR="00786DD5" w:rsidRPr="0043559F"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t>25,000</w:t>
            </w:r>
            <w:r w:rsidR="006F5C17">
              <w:rPr>
                <w:rFonts w:eastAsia="Times New Roman"/>
                <w:color w:val="000000" w:themeColor="text1"/>
                <w:szCs w:val="20"/>
                <w:lang w:eastAsia="en-GB"/>
              </w:rPr>
              <w:t xml:space="preserve"> </w:t>
            </w:r>
            <w:r w:rsidR="006F5C17" w:rsidRPr="0043559F">
              <w:rPr>
                <w:rFonts w:eastAsia="Times New Roman"/>
                <w:color w:val="000000" w:themeColor="text1"/>
                <w:szCs w:val="20"/>
                <w:lang w:eastAsia="en-GB"/>
              </w:rPr>
              <w:t>USD</w:t>
            </w:r>
          </w:p>
          <w:p w14:paraId="046B76D0" w14:textId="77777777" w:rsidR="00786DD5" w:rsidRPr="005E70E7"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t>Core Resources</w:t>
            </w:r>
          </w:p>
        </w:tc>
        <w:tc>
          <w:tcPr>
            <w:tcW w:w="1890" w:type="dxa"/>
            <w:vAlign w:val="center"/>
          </w:tcPr>
          <w:p w14:paraId="29B9CAE7" w14:textId="77777777" w:rsidR="00786DD5" w:rsidRPr="0043559F"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lastRenderedPageBreak/>
              <w:t>Shadiya Ibrahim</w:t>
            </w:r>
          </w:p>
          <w:p w14:paraId="57A9C261" w14:textId="77777777" w:rsidR="00786DD5" w:rsidRPr="005E70E7" w:rsidRDefault="00FE1EAC" w:rsidP="006C2A43">
            <w:pPr>
              <w:rPr>
                <w:rStyle w:val="CommentReference"/>
                <w:color w:val="000000" w:themeColor="text1"/>
                <w:sz w:val="20"/>
                <w:szCs w:val="20"/>
              </w:rPr>
            </w:pPr>
            <w:hyperlink r:id="rId64">
              <w:r w:rsidR="00786DD5" w:rsidRPr="0043559F">
                <w:rPr>
                  <w:rFonts w:eastAsia="Times New Roman"/>
                  <w:color w:val="000000" w:themeColor="text1"/>
                  <w:szCs w:val="20"/>
                  <w:lang w:eastAsia="en-GB"/>
                </w:rPr>
                <w:t>ibrahim@unfpa.org</w:t>
              </w:r>
            </w:hyperlink>
            <w:r w:rsidR="00786DD5">
              <w:rPr>
                <w:rFonts w:eastAsia="Verdana" w:cs="Verdana"/>
                <w:sz w:val="14"/>
                <w:szCs w:val="14"/>
              </w:rPr>
              <w:t xml:space="preserve"> </w:t>
            </w:r>
          </w:p>
        </w:tc>
      </w:tr>
      <w:tr w:rsidR="00786DD5" w:rsidRPr="005E70E7" w14:paraId="139E996C" w14:textId="77777777" w:rsidTr="00786DD5">
        <w:trPr>
          <w:jc w:val="center"/>
        </w:trPr>
        <w:tc>
          <w:tcPr>
            <w:tcW w:w="2245" w:type="dxa"/>
          </w:tcPr>
          <w:p w14:paraId="6BE1B24E" w14:textId="77777777" w:rsidR="00786DD5" w:rsidRPr="005E70E7"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t>National Transfer Account is being developed with inputs from a lifestyle approach</w:t>
            </w:r>
          </w:p>
        </w:tc>
        <w:tc>
          <w:tcPr>
            <w:tcW w:w="3330" w:type="dxa"/>
          </w:tcPr>
          <w:p w14:paraId="4C824D20" w14:textId="77777777" w:rsidR="00786DD5" w:rsidRPr="005E70E7"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t>Accounting framework that measures how economic resources are consumed, produced and reallocated among people of different age groups in the population estimated</w:t>
            </w:r>
          </w:p>
        </w:tc>
        <w:tc>
          <w:tcPr>
            <w:tcW w:w="1710" w:type="dxa"/>
            <w:vAlign w:val="center"/>
          </w:tcPr>
          <w:p w14:paraId="3DD5A8F4" w14:textId="77777777" w:rsidR="00786DD5" w:rsidRPr="005E70E7"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t>Output 1.2 - Costing of social sector services with a focus on equity and redistribution</w:t>
            </w:r>
          </w:p>
        </w:tc>
        <w:tc>
          <w:tcPr>
            <w:tcW w:w="1530" w:type="dxa"/>
            <w:vAlign w:val="center"/>
          </w:tcPr>
          <w:p w14:paraId="48BF7ACC" w14:textId="77777777" w:rsidR="00786DD5" w:rsidRPr="005E70E7"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t>UNFPA</w:t>
            </w:r>
          </w:p>
        </w:tc>
        <w:tc>
          <w:tcPr>
            <w:tcW w:w="1710" w:type="dxa"/>
            <w:vAlign w:val="center"/>
          </w:tcPr>
          <w:p w14:paraId="74D6BBFF" w14:textId="77777777" w:rsidR="00786DD5" w:rsidRPr="005E70E7"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t>National Bureau of Statistics</w:t>
            </w:r>
          </w:p>
        </w:tc>
        <w:tc>
          <w:tcPr>
            <w:tcW w:w="1710" w:type="dxa"/>
            <w:vAlign w:val="center"/>
          </w:tcPr>
          <w:p w14:paraId="6CF7284F" w14:textId="77777777" w:rsidR="00786DD5" w:rsidRPr="0043559F"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t>2019:</w:t>
            </w:r>
          </w:p>
          <w:p w14:paraId="60D25682" w14:textId="77777777" w:rsidR="00786DD5" w:rsidRPr="0043559F"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t>USD 9,787</w:t>
            </w:r>
          </w:p>
          <w:p w14:paraId="004DA427" w14:textId="77777777" w:rsidR="00786DD5" w:rsidRPr="0043559F" w:rsidRDefault="00786DD5" w:rsidP="006C2A43">
            <w:pPr>
              <w:rPr>
                <w:rFonts w:eastAsia="Times New Roman"/>
                <w:color w:val="000000" w:themeColor="text1"/>
                <w:szCs w:val="20"/>
                <w:lang w:eastAsia="en-GB"/>
              </w:rPr>
            </w:pPr>
          </w:p>
          <w:p w14:paraId="3D9F275D" w14:textId="77777777" w:rsidR="00786DD5" w:rsidRPr="0043559F"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t>2020:</w:t>
            </w:r>
          </w:p>
          <w:p w14:paraId="1DB5E14C" w14:textId="77777777" w:rsidR="00786DD5" w:rsidRPr="005E70E7"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t>In kind support as technical assistance to disseminate the findings, especially to policy makers</w:t>
            </w:r>
          </w:p>
        </w:tc>
        <w:tc>
          <w:tcPr>
            <w:tcW w:w="1890" w:type="dxa"/>
            <w:vAlign w:val="center"/>
          </w:tcPr>
          <w:p w14:paraId="6590DF8C" w14:textId="77777777" w:rsidR="00786DD5" w:rsidRPr="0043559F"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t>Shadiya Ibrahim</w:t>
            </w:r>
          </w:p>
          <w:p w14:paraId="01DCEDE2" w14:textId="77777777" w:rsidR="00786DD5" w:rsidRPr="005E70E7" w:rsidRDefault="00FE1EAC" w:rsidP="006C2A43">
            <w:pPr>
              <w:rPr>
                <w:rStyle w:val="CommentReference"/>
                <w:color w:val="000000" w:themeColor="text1"/>
                <w:sz w:val="20"/>
                <w:szCs w:val="20"/>
              </w:rPr>
            </w:pPr>
            <w:hyperlink r:id="rId65">
              <w:r w:rsidR="00786DD5" w:rsidRPr="0043559F">
                <w:rPr>
                  <w:rFonts w:eastAsia="Times New Roman"/>
                  <w:color w:val="000000" w:themeColor="text1"/>
                  <w:szCs w:val="20"/>
                  <w:lang w:eastAsia="en-GB"/>
                </w:rPr>
                <w:t>ibrahim@unfpa.org</w:t>
              </w:r>
            </w:hyperlink>
          </w:p>
        </w:tc>
      </w:tr>
      <w:tr w:rsidR="00786DD5" w:rsidRPr="005E70E7" w14:paraId="2C36F228" w14:textId="77777777" w:rsidTr="00786DD5">
        <w:trPr>
          <w:jc w:val="center"/>
        </w:trPr>
        <w:tc>
          <w:tcPr>
            <w:tcW w:w="2245" w:type="dxa"/>
          </w:tcPr>
          <w:p w14:paraId="46707F0E" w14:textId="77777777" w:rsidR="00786DD5" w:rsidRPr="005E70E7"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t>Population Dynamic simulation to align government policies to a human capital perspective</w:t>
            </w:r>
          </w:p>
        </w:tc>
        <w:tc>
          <w:tcPr>
            <w:tcW w:w="3330" w:type="dxa"/>
          </w:tcPr>
          <w:p w14:paraId="64C71D1E" w14:textId="77777777" w:rsidR="00786DD5" w:rsidRPr="005E70E7"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t>A way forward for shaping a development policy aligned with the achievement of SAP.</w:t>
            </w:r>
          </w:p>
        </w:tc>
        <w:tc>
          <w:tcPr>
            <w:tcW w:w="1710" w:type="dxa"/>
            <w:vAlign w:val="center"/>
          </w:tcPr>
          <w:p w14:paraId="45B4EA5B" w14:textId="77777777" w:rsidR="00786DD5" w:rsidRPr="005E70E7"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t>Output 1.2 - Costing of social sector services with a focus on equity and redistribution</w:t>
            </w:r>
          </w:p>
        </w:tc>
        <w:tc>
          <w:tcPr>
            <w:tcW w:w="1530" w:type="dxa"/>
            <w:vAlign w:val="center"/>
          </w:tcPr>
          <w:p w14:paraId="488F7276" w14:textId="77777777" w:rsidR="00786DD5" w:rsidRPr="005E70E7"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t>UNFPA</w:t>
            </w:r>
          </w:p>
        </w:tc>
        <w:tc>
          <w:tcPr>
            <w:tcW w:w="1710" w:type="dxa"/>
            <w:vAlign w:val="center"/>
          </w:tcPr>
          <w:p w14:paraId="4226E4B2" w14:textId="77777777" w:rsidR="00786DD5" w:rsidRPr="005E70E7"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t>National Bureau of Statistics</w:t>
            </w:r>
          </w:p>
        </w:tc>
        <w:tc>
          <w:tcPr>
            <w:tcW w:w="1710" w:type="dxa"/>
            <w:vAlign w:val="center"/>
          </w:tcPr>
          <w:p w14:paraId="6920539C" w14:textId="77777777" w:rsidR="00786DD5" w:rsidRPr="0043559F" w:rsidRDefault="00786DD5" w:rsidP="006C2A43">
            <w:pPr>
              <w:rPr>
                <w:rFonts w:eastAsia="Times New Roman"/>
                <w:color w:val="000000" w:themeColor="text1"/>
                <w:szCs w:val="20"/>
                <w:lang w:eastAsia="en-GB"/>
              </w:rPr>
            </w:pPr>
          </w:p>
          <w:p w14:paraId="18346470" w14:textId="77777777" w:rsidR="00786DD5" w:rsidRPr="0043559F" w:rsidRDefault="00786DD5" w:rsidP="006C2A43">
            <w:pPr>
              <w:rPr>
                <w:rFonts w:eastAsia="Times New Roman"/>
                <w:color w:val="000000" w:themeColor="text1"/>
                <w:szCs w:val="20"/>
                <w:lang w:eastAsia="en-GB"/>
              </w:rPr>
            </w:pPr>
          </w:p>
          <w:p w14:paraId="2CFDCB38" w14:textId="77777777" w:rsidR="00786DD5" w:rsidRPr="0043559F"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t>2020:</w:t>
            </w:r>
          </w:p>
          <w:p w14:paraId="1F69F578" w14:textId="77777777" w:rsidR="00786DD5" w:rsidRPr="0043559F"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t>USD 10,000</w:t>
            </w:r>
          </w:p>
          <w:p w14:paraId="3EFAB311" w14:textId="77777777" w:rsidR="00786DD5" w:rsidRPr="0043559F"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t>Core Resources</w:t>
            </w:r>
          </w:p>
          <w:p w14:paraId="32B46F0A" w14:textId="77777777" w:rsidR="00786DD5" w:rsidRPr="005E70E7" w:rsidRDefault="00786DD5" w:rsidP="006C2A43">
            <w:pPr>
              <w:rPr>
                <w:rFonts w:eastAsia="Times New Roman"/>
                <w:color w:val="000000" w:themeColor="text1"/>
                <w:szCs w:val="20"/>
                <w:lang w:eastAsia="en-GB"/>
              </w:rPr>
            </w:pPr>
          </w:p>
        </w:tc>
        <w:tc>
          <w:tcPr>
            <w:tcW w:w="1890" w:type="dxa"/>
            <w:vAlign w:val="center"/>
          </w:tcPr>
          <w:p w14:paraId="4F14A0A2" w14:textId="77777777" w:rsidR="00786DD5" w:rsidRPr="0043559F" w:rsidRDefault="00786DD5" w:rsidP="006C2A43">
            <w:pPr>
              <w:rPr>
                <w:rFonts w:eastAsia="Times New Roman"/>
                <w:color w:val="000000" w:themeColor="text1"/>
                <w:szCs w:val="20"/>
                <w:lang w:eastAsia="en-GB"/>
              </w:rPr>
            </w:pPr>
            <w:r w:rsidRPr="0043559F">
              <w:rPr>
                <w:rFonts w:eastAsia="Times New Roman"/>
                <w:color w:val="000000" w:themeColor="text1"/>
                <w:szCs w:val="20"/>
                <w:lang w:eastAsia="en-GB"/>
              </w:rPr>
              <w:t>Shadiya Ibrahim</w:t>
            </w:r>
          </w:p>
          <w:p w14:paraId="6563440F" w14:textId="77777777" w:rsidR="00786DD5" w:rsidRPr="005E70E7" w:rsidRDefault="00FE1EAC" w:rsidP="006C2A43">
            <w:pPr>
              <w:rPr>
                <w:rStyle w:val="CommentReference"/>
                <w:color w:val="000000" w:themeColor="text1"/>
                <w:sz w:val="20"/>
                <w:szCs w:val="20"/>
              </w:rPr>
            </w:pPr>
            <w:hyperlink r:id="rId66">
              <w:r w:rsidR="00786DD5" w:rsidRPr="0043559F">
                <w:rPr>
                  <w:rFonts w:eastAsia="Times New Roman"/>
                  <w:color w:val="000000" w:themeColor="text1"/>
                  <w:szCs w:val="20"/>
                  <w:lang w:eastAsia="en-GB"/>
                </w:rPr>
                <w:t>ibrahim@unfpa.org</w:t>
              </w:r>
            </w:hyperlink>
          </w:p>
        </w:tc>
      </w:tr>
      <w:tr w:rsidR="00786DD5" w:rsidRPr="00081438" w14:paraId="20FC0B80" w14:textId="77777777" w:rsidTr="00786DD5">
        <w:trPr>
          <w:jc w:val="center"/>
        </w:trPr>
        <w:tc>
          <w:tcPr>
            <w:tcW w:w="2245" w:type="dxa"/>
            <w:vAlign w:val="center"/>
          </w:tcPr>
          <w:p w14:paraId="52F4A1ED" w14:textId="77777777" w:rsidR="00786DD5" w:rsidRPr="005E70E7" w:rsidRDefault="00786DD5" w:rsidP="006C2A43">
            <w:pPr>
              <w:rPr>
                <w:rFonts w:eastAsia="Times New Roman"/>
                <w:color w:val="000000" w:themeColor="text1"/>
                <w:szCs w:val="20"/>
                <w:lang w:eastAsia="en-GB"/>
              </w:rPr>
            </w:pPr>
            <w:r w:rsidRPr="005E70E7">
              <w:rPr>
                <w:rFonts w:eastAsia="Times New Roman"/>
                <w:color w:val="000000" w:themeColor="text1"/>
                <w:szCs w:val="20"/>
                <w:lang w:eastAsia="en-GB"/>
              </w:rPr>
              <w:t xml:space="preserve">PFM reform </w:t>
            </w:r>
            <w:r>
              <w:rPr>
                <w:rFonts w:eastAsia="Times New Roman"/>
                <w:color w:val="000000" w:themeColor="text1"/>
                <w:szCs w:val="20"/>
                <w:lang w:eastAsia="en-GB"/>
              </w:rPr>
              <w:t>Activity</w:t>
            </w:r>
          </w:p>
        </w:tc>
        <w:tc>
          <w:tcPr>
            <w:tcW w:w="3330" w:type="dxa"/>
            <w:vAlign w:val="center"/>
          </w:tcPr>
          <w:p w14:paraId="0DF4E02F" w14:textId="5109C144" w:rsidR="00786DD5" w:rsidRPr="005E70E7" w:rsidRDefault="00786DD5" w:rsidP="006C2A43">
            <w:pPr>
              <w:rPr>
                <w:rFonts w:eastAsia="Times New Roman"/>
                <w:color w:val="000000" w:themeColor="text1"/>
                <w:szCs w:val="20"/>
                <w:lang w:eastAsia="en-GB"/>
              </w:rPr>
            </w:pPr>
            <w:r>
              <w:rPr>
                <w:rFonts w:eastAsia="Times New Roman"/>
                <w:color w:val="000000" w:themeColor="text1"/>
                <w:szCs w:val="20"/>
                <w:lang w:eastAsia="en-GB"/>
              </w:rPr>
              <w:t>Improve the quality efficiency and transparency of managing the Government budget processes and investment in public facilities</w:t>
            </w:r>
          </w:p>
        </w:tc>
        <w:tc>
          <w:tcPr>
            <w:tcW w:w="1710" w:type="dxa"/>
            <w:vAlign w:val="center"/>
          </w:tcPr>
          <w:p w14:paraId="064931CF" w14:textId="77777777" w:rsidR="00786DD5" w:rsidRPr="005E70E7" w:rsidRDefault="00786DD5" w:rsidP="006C2A43">
            <w:pPr>
              <w:rPr>
                <w:rFonts w:eastAsia="Times New Roman"/>
                <w:color w:val="000000" w:themeColor="text1"/>
                <w:szCs w:val="20"/>
                <w:lang w:eastAsia="en-GB"/>
              </w:rPr>
            </w:pPr>
            <w:r>
              <w:rPr>
                <w:rFonts w:eastAsia="Times New Roman"/>
                <w:color w:val="000000" w:themeColor="text1"/>
                <w:szCs w:val="20"/>
                <w:lang w:eastAsia="en-GB"/>
              </w:rPr>
              <w:t>Output 2.2</w:t>
            </w:r>
          </w:p>
        </w:tc>
        <w:tc>
          <w:tcPr>
            <w:tcW w:w="1530" w:type="dxa"/>
            <w:vAlign w:val="center"/>
          </w:tcPr>
          <w:p w14:paraId="410897A8" w14:textId="77777777" w:rsidR="00786DD5" w:rsidRPr="005E70E7" w:rsidRDefault="00786DD5" w:rsidP="006C2A43">
            <w:pPr>
              <w:rPr>
                <w:rFonts w:eastAsia="Times New Roman"/>
                <w:color w:val="000000" w:themeColor="text1"/>
                <w:szCs w:val="20"/>
                <w:lang w:eastAsia="en-GB"/>
              </w:rPr>
            </w:pPr>
            <w:r>
              <w:rPr>
                <w:rFonts w:eastAsia="Times New Roman"/>
                <w:color w:val="000000" w:themeColor="text1"/>
                <w:szCs w:val="20"/>
                <w:lang w:eastAsia="en-GB"/>
              </w:rPr>
              <w:t>USAID</w:t>
            </w:r>
          </w:p>
        </w:tc>
        <w:tc>
          <w:tcPr>
            <w:tcW w:w="1710" w:type="dxa"/>
            <w:vAlign w:val="center"/>
          </w:tcPr>
          <w:p w14:paraId="01AEF07C" w14:textId="77777777" w:rsidR="00786DD5" w:rsidRPr="005E70E7" w:rsidRDefault="00786DD5" w:rsidP="006C2A43">
            <w:pPr>
              <w:rPr>
                <w:rFonts w:eastAsia="Times New Roman"/>
                <w:color w:val="000000" w:themeColor="text1"/>
                <w:szCs w:val="20"/>
                <w:lang w:eastAsia="en-GB"/>
              </w:rPr>
            </w:pPr>
            <w:r>
              <w:rPr>
                <w:rFonts w:eastAsia="Times New Roman"/>
                <w:color w:val="000000" w:themeColor="text1"/>
                <w:szCs w:val="20"/>
                <w:lang w:eastAsia="en-GB"/>
              </w:rPr>
              <w:t>Ministry of Finance</w:t>
            </w:r>
          </w:p>
        </w:tc>
        <w:tc>
          <w:tcPr>
            <w:tcW w:w="1710" w:type="dxa"/>
            <w:vAlign w:val="center"/>
          </w:tcPr>
          <w:p w14:paraId="5FC73898" w14:textId="3E8B21AE" w:rsidR="00786DD5" w:rsidRDefault="004F3703" w:rsidP="006C2A43">
            <w:pPr>
              <w:rPr>
                <w:rFonts w:eastAsia="Times New Roman"/>
                <w:color w:val="000000" w:themeColor="text1"/>
                <w:szCs w:val="20"/>
                <w:lang w:eastAsia="en-GB"/>
              </w:rPr>
            </w:pPr>
            <w:r>
              <w:rPr>
                <w:rFonts w:eastAsia="Times New Roman"/>
                <w:color w:val="000000" w:themeColor="text1"/>
                <w:szCs w:val="20"/>
                <w:lang w:eastAsia="en-GB"/>
              </w:rPr>
              <w:t>USD 13.7</w:t>
            </w:r>
            <w:r w:rsidR="00DE0FB8">
              <w:rPr>
                <w:rFonts w:eastAsia="Times New Roman"/>
                <w:color w:val="000000" w:themeColor="text1"/>
                <w:szCs w:val="20"/>
                <w:lang w:eastAsia="en-GB"/>
              </w:rPr>
              <w:t xml:space="preserve"> </w:t>
            </w:r>
            <w:r>
              <w:rPr>
                <w:rFonts w:eastAsia="Times New Roman"/>
                <w:color w:val="000000" w:themeColor="text1"/>
                <w:szCs w:val="20"/>
                <w:lang w:eastAsia="en-GB"/>
              </w:rPr>
              <w:t>m</w:t>
            </w:r>
            <w:r w:rsidR="00DE0FB8">
              <w:rPr>
                <w:rFonts w:eastAsia="Times New Roman"/>
                <w:color w:val="000000" w:themeColor="text1"/>
                <w:szCs w:val="20"/>
                <w:lang w:eastAsia="en-GB"/>
              </w:rPr>
              <w:t xml:space="preserve">illion </w:t>
            </w:r>
          </w:p>
          <w:p w14:paraId="2F4C8077" w14:textId="4E8A0271" w:rsidR="004F3703" w:rsidRPr="005E70E7" w:rsidRDefault="004F3703" w:rsidP="006C2A43">
            <w:pPr>
              <w:rPr>
                <w:rFonts w:eastAsia="Times New Roman"/>
                <w:color w:val="000000" w:themeColor="text1"/>
                <w:szCs w:val="20"/>
                <w:lang w:eastAsia="en-GB"/>
              </w:rPr>
            </w:pPr>
            <w:r>
              <w:rPr>
                <w:rFonts w:eastAsia="Times New Roman"/>
                <w:color w:val="000000" w:themeColor="text1"/>
                <w:szCs w:val="20"/>
                <w:lang w:eastAsia="en-GB"/>
              </w:rPr>
              <w:t>USAID</w:t>
            </w:r>
          </w:p>
        </w:tc>
        <w:tc>
          <w:tcPr>
            <w:tcW w:w="1890" w:type="dxa"/>
            <w:vAlign w:val="center"/>
          </w:tcPr>
          <w:p w14:paraId="24E930A6" w14:textId="3B63BB5F" w:rsidR="00786DD5" w:rsidRPr="00B06AB0" w:rsidRDefault="008546D5" w:rsidP="006C2A43">
            <w:pPr>
              <w:rPr>
                <w:rStyle w:val="CommentReference"/>
                <w:color w:val="000000" w:themeColor="text1"/>
                <w:sz w:val="20"/>
                <w:szCs w:val="20"/>
                <w:lang w:val="fr-FR"/>
              </w:rPr>
            </w:pPr>
            <w:r w:rsidRPr="00B06AB0">
              <w:rPr>
                <w:rStyle w:val="CommentReference"/>
                <w:color w:val="000000" w:themeColor="text1"/>
                <w:sz w:val="20"/>
                <w:szCs w:val="20"/>
                <w:lang w:val="fr-FR"/>
              </w:rPr>
              <w:t>Nihani Riza, nriza@usaid.gov</w:t>
            </w:r>
          </w:p>
        </w:tc>
      </w:tr>
      <w:tr w:rsidR="00786DD5" w:rsidRPr="00FB4EF5" w14:paraId="2D24607D" w14:textId="77777777" w:rsidTr="00786DD5">
        <w:trPr>
          <w:jc w:val="center"/>
        </w:trPr>
        <w:tc>
          <w:tcPr>
            <w:tcW w:w="2245" w:type="dxa"/>
            <w:vAlign w:val="center"/>
          </w:tcPr>
          <w:p w14:paraId="0051F403" w14:textId="77777777" w:rsidR="00786DD5" w:rsidRPr="005E70E7" w:rsidRDefault="00786DD5" w:rsidP="006C2A43">
            <w:pPr>
              <w:rPr>
                <w:rFonts w:eastAsia="Times New Roman"/>
                <w:color w:val="000000" w:themeColor="text1"/>
                <w:szCs w:val="20"/>
                <w:lang w:eastAsia="en-GB"/>
              </w:rPr>
            </w:pPr>
            <w:r w:rsidRPr="00251B71">
              <w:rPr>
                <w:rFonts w:eastAsia="Times New Roman"/>
                <w:color w:val="000000" w:themeColor="text1"/>
                <w:szCs w:val="20"/>
                <w:lang w:eastAsia="en-GB"/>
              </w:rPr>
              <w:t>Maldives Public Financing Management Systems Strengthening Project</w:t>
            </w:r>
          </w:p>
        </w:tc>
        <w:tc>
          <w:tcPr>
            <w:tcW w:w="3330" w:type="dxa"/>
            <w:vAlign w:val="center"/>
          </w:tcPr>
          <w:p w14:paraId="630AC7A4" w14:textId="77777777" w:rsidR="00786DD5" w:rsidRPr="005E70E7" w:rsidRDefault="00786DD5" w:rsidP="006C2A43">
            <w:pPr>
              <w:rPr>
                <w:rFonts w:eastAsia="Times New Roman"/>
                <w:color w:val="000000" w:themeColor="text1"/>
                <w:szCs w:val="20"/>
                <w:lang w:eastAsia="en-GB"/>
              </w:rPr>
            </w:pPr>
            <w:r w:rsidRPr="00251B71">
              <w:rPr>
                <w:rFonts w:eastAsia="Times New Roman"/>
                <w:color w:val="000000" w:themeColor="text1"/>
                <w:szCs w:val="20"/>
                <w:lang w:eastAsia="en-GB"/>
              </w:rPr>
              <w:t>Enhance budget credibility, transparency and financial reporting of public sector finances</w:t>
            </w:r>
            <w:r w:rsidRPr="00251B71">
              <w:rPr>
                <w:rFonts w:eastAsia="Times New Roman"/>
                <w:color w:val="000000" w:themeColor="text1"/>
                <w:szCs w:val="20"/>
                <w:lang w:eastAsia="en-GB"/>
              </w:rPr>
              <w:tab/>
            </w:r>
          </w:p>
        </w:tc>
        <w:tc>
          <w:tcPr>
            <w:tcW w:w="1710" w:type="dxa"/>
            <w:vAlign w:val="center"/>
          </w:tcPr>
          <w:p w14:paraId="2F99D365" w14:textId="77777777" w:rsidR="00786DD5" w:rsidRPr="005E70E7" w:rsidRDefault="00786DD5" w:rsidP="006C2A43">
            <w:pPr>
              <w:rPr>
                <w:rFonts w:eastAsia="Times New Roman"/>
                <w:color w:val="000000" w:themeColor="text1"/>
                <w:szCs w:val="20"/>
                <w:lang w:eastAsia="en-GB"/>
              </w:rPr>
            </w:pPr>
            <w:r w:rsidRPr="00251B71">
              <w:rPr>
                <w:rFonts w:eastAsia="Times New Roman"/>
                <w:color w:val="000000" w:themeColor="text1"/>
                <w:szCs w:val="20"/>
                <w:lang w:eastAsia="en-GB"/>
              </w:rPr>
              <w:t>Output 2.2</w:t>
            </w:r>
          </w:p>
        </w:tc>
        <w:tc>
          <w:tcPr>
            <w:tcW w:w="1530" w:type="dxa"/>
            <w:vAlign w:val="center"/>
          </w:tcPr>
          <w:p w14:paraId="3B4F925F" w14:textId="77777777" w:rsidR="00786DD5" w:rsidRPr="005E70E7" w:rsidRDefault="00786DD5" w:rsidP="006C2A43">
            <w:pPr>
              <w:rPr>
                <w:rFonts w:eastAsia="Times New Roman"/>
                <w:color w:val="000000" w:themeColor="text1"/>
                <w:szCs w:val="20"/>
                <w:lang w:eastAsia="en-GB"/>
              </w:rPr>
            </w:pPr>
            <w:r>
              <w:rPr>
                <w:rFonts w:eastAsia="Times New Roman"/>
                <w:color w:val="000000" w:themeColor="text1"/>
                <w:szCs w:val="20"/>
                <w:lang w:eastAsia="en-GB"/>
              </w:rPr>
              <w:t>World Bank</w:t>
            </w:r>
          </w:p>
        </w:tc>
        <w:tc>
          <w:tcPr>
            <w:tcW w:w="1710" w:type="dxa"/>
            <w:vAlign w:val="center"/>
          </w:tcPr>
          <w:p w14:paraId="76AF27B1" w14:textId="77777777" w:rsidR="00786DD5" w:rsidRPr="005E70E7" w:rsidRDefault="00786DD5" w:rsidP="006C2A43">
            <w:pPr>
              <w:rPr>
                <w:rFonts w:eastAsia="Times New Roman"/>
                <w:color w:val="000000" w:themeColor="text1"/>
                <w:szCs w:val="20"/>
                <w:lang w:eastAsia="en-GB"/>
              </w:rPr>
            </w:pPr>
            <w:r>
              <w:rPr>
                <w:rFonts w:eastAsia="Times New Roman"/>
                <w:color w:val="000000" w:themeColor="text1"/>
                <w:szCs w:val="20"/>
                <w:lang w:eastAsia="en-GB"/>
              </w:rPr>
              <w:t>Ministry of Finance</w:t>
            </w:r>
          </w:p>
        </w:tc>
        <w:tc>
          <w:tcPr>
            <w:tcW w:w="1710" w:type="dxa"/>
            <w:vAlign w:val="center"/>
          </w:tcPr>
          <w:p w14:paraId="3892A1B2" w14:textId="77777777" w:rsidR="00786DD5" w:rsidRDefault="00786DD5" w:rsidP="006C2A43">
            <w:pPr>
              <w:rPr>
                <w:rFonts w:eastAsia="Times New Roman"/>
                <w:color w:val="000000" w:themeColor="text1"/>
                <w:szCs w:val="20"/>
                <w:lang w:eastAsia="en-GB"/>
              </w:rPr>
            </w:pPr>
            <w:r>
              <w:rPr>
                <w:rFonts w:eastAsia="Times New Roman"/>
                <w:color w:val="000000" w:themeColor="text1"/>
                <w:szCs w:val="20"/>
                <w:lang w:eastAsia="en-GB"/>
              </w:rPr>
              <w:t>USD 12 million</w:t>
            </w:r>
          </w:p>
          <w:p w14:paraId="6C51EED2" w14:textId="77777777" w:rsidR="00786DD5" w:rsidRPr="005E70E7" w:rsidRDefault="00786DD5" w:rsidP="006C2A43">
            <w:pPr>
              <w:rPr>
                <w:rFonts w:eastAsia="Times New Roman"/>
                <w:color w:val="000000" w:themeColor="text1"/>
                <w:szCs w:val="20"/>
                <w:lang w:eastAsia="en-GB"/>
              </w:rPr>
            </w:pPr>
            <w:r>
              <w:rPr>
                <w:rFonts w:eastAsia="Times New Roman"/>
                <w:color w:val="000000" w:themeColor="text1"/>
                <w:szCs w:val="20"/>
                <w:lang w:eastAsia="en-GB"/>
              </w:rPr>
              <w:t>World Bank (IDA)</w:t>
            </w:r>
          </w:p>
        </w:tc>
        <w:tc>
          <w:tcPr>
            <w:tcW w:w="1890" w:type="dxa"/>
            <w:vAlign w:val="center"/>
          </w:tcPr>
          <w:p w14:paraId="1E43E13B" w14:textId="106F83D6" w:rsidR="00786DD5" w:rsidRPr="005E70E7" w:rsidRDefault="00752469" w:rsidP="006C2A43">
            <w:pPr>
              <w:rPr>
                <w:rStyle w:val="CommentReference"/>
                <w:color w:val="000000" w:themeColor="text1"/>
                <w:sz w:val="20"/>
                <w:szCs w:val="20"/>
              </w:rPr>
            </w:pPr>
            <w:r w:rsidRPr="0069363B">
              <w:rPr>
                <w:bCs/>
                <w:szCs w:val="20"/>
              </w:rPr>
              <w:t>Winston</w:t>
            </w:r>
            <w:r w:rsidRPr="00A236BC">
              <w:rPr>
                <w:bCs/>
                <w:szCs w:val="20"/>
              </w:rPr>
              <w:t xml:space="preserve"> Percy Onipede Cole</w:t>
            </w:r>
            <w:r>
              <w:rPr>
                <w:bCs/>
                <w:szCs w:val="20"/>
              </w:rPr>
              <w:t xml:space="preserve">, </w:t>
            </w:r>
            <w:hyperlink r:id="rId67" w:history="1">
              <w:r w:rsidRPr="002958DF">
                <w:rPr>
                  <w:rStyle w:val="Hyperlink"/>
                  <w:bCs/>
                  <w:szCs w:val="20"/>
                </w:rPr>
                <w:t>wcole@worldbank.org</w:t>
              </w:r>
            </w:hyperlink>
          </w:p>
        </w:tc>
      </w:tr>
      <w:tr w:rsidR="00786DD5" w:rsidRPr="00FB4EF5" w14:paraId="76C7846B" w14:textId="77777777" w:rsidTr="00786DD5">
        <w:trPr>
          <w:jc w:val="center"/>
        </w:trPr>
        <w:tc>
          <w:tcPr>
            <w:tcW w:w="2245" w:type="dxa"/>
            <w:vAlign w:val="center"/>
          </w:tcPr>
          <w:p w14:paraId="67965CE5" w14:textId="77777777" w:rsidR="00786DD5" w:rsidRPr="00251B71" w:rsidRDefault="00786DD5" w:rsidP="006C2A43">
            <w:pPr>
              <w:rPr>
                <w:rFonts w:eastAsia="Times New Roman"/>
                <w:color w:val="000000" w:themeColor="text1"/>
                <w:szCs w:val="20"/>
                <w:lang w:eastAsia="en-GB"/>
              </w:rPr>
            </w:pPr>
            <w:r w:rsidRPr="00C21C3E">
              <w:rPr>
                <w:rFonts w:eastAsia="Times New Roman"/>
                <w:color w:val="000000" w:themeColor="text1"/>
                <w:szCs w:val="20"/>
                <w:lang w:eastAsia="en-GB"/>
              </w:rPr>
              <w:t>2030 Agenda Partnership Accelerator</w:t>
            </w:r>
          </w:p>
        </w:tc>
        <w:tc>
          <w:tcPr>
            <w:tcW w:w="3330" w:type="dxa"/>
            <w:vAlign w:val="center"/>
          </w:tcPr>
          <w:p w14:paraId="1FF6F331" w14:textId="11ED8DE8" w:rsidR="00786DD5" w:rsidRPr="00251B71" w:rsidRDefault="00786DD5" w:rsidP="006C2A43">
            <w:pPr>
              <w:rPr>
                <w:rFonts w:eastAsia="Times New Roman"/>
                <w:color w:val="000000" w:themeColor="text1"/>
                <w:szCs w:val="20"/>
                <w:lang w:eastAsia="en-GB"/>
              </w:rPr>
            </w:pPr>
            <w:r w:rsidRPr="00786DD5">
              <w:rPr>
                <w:rFonts w:eastAsia="Times New Roman"/>
                <w:color w:val="000000" w:themeColor="text1"/>
                <w:szCs w:val="20"/>
                <w:lang w:eastAsia="en-GB"/>
              </w:rPr>
              <w:t xml:space="preserve">To build strong understanding of the role of multi-stakeholder partnerships for </w:t>
            </w:r>
            <w:r w:rsidRPr="00786DD5">
              <w:rPr>
                <w:rFonts w:eastAsia="Times New Roman"/>
                <w:color w:val="000000" w:themeColor="text1"/>
                <w:szCs w:val="20"/>
                <w:lang w:eastAsia="en-GB"/>
              </w:rPr>
              <w:lastRenderedPageBreak/>
              <w:t>the SDGs; introduce effective approaches and a range of tools to develop effective partnerships and partnership platforms; develop a core set of skills required to negotiate and collectively maximize partnership value creation, build understanding and the relationship across participants from different sectors, in order to help develop new partnerships for supporting implementation of the SDGs in Maldives.</w:t>
            </w:r>
          </w:p>
        </w:tc>
        <w:tc>
          <w:tcPr>
            <w:tcW w:w="1710" w:type="dxa"/>
            <w:vAlign w:val="center"/>
          </w:tcPr>
          <w:p w14:paraId="5FDC53D9" w14:textId="77777777" w:rsidR="00786DD5" w:rsidRPr="00251B71" w:rsidRDefault="00786DD5" w:rsidP="006C2A43">
            <w:pPr>
              <w:rPr>
                <w:rFonts w:eastAsia="Times New Roman"/>
                <w:color w:val="000000" w:themeColor="text1"/>
                <w:szCs w:val="20"/>
                <w:lang w:eastAsia="en-GB"/>
              </w:rPr>
            </w:pPr>
            <w:r w:rsidRPr="00D129DE">
              <w:rPr>
                <w:rFonts w:eastAsia="Times New Roman"/>
                <w:color w:val="000000" w:themeColor="text1"/>
                <w:szCs w:val="20"/>
                <w:lang w:eastAsia="en-GB"/>
              </w:rPr>
              <w:lastRenderedPageBreak/>
              <w:t>Output 1.2</w:t>
            </w:r>
          </w:p>
        </w:tc>
        <w:tc>
          <w:tcPr>
            <w:tcW w:w="1530" w:type="dxa"/>
            <w:vAlign w:val="center"/>
          </w:tcPr>
          <w:p w14:paraId="22899CC0" w14:textId="77777777" w:rsidR="00786DD5" w:rsidRDefault="00786DD5" w:rsidP="006C2A43">
            <w:pPr>
              <w:rPr>
                <w:rFonts w:eastAsia="Times New Roman"/>
                <w:color w:val="000000" w:themeColor="text1"/>
                <w:szCs w:val="20"/>
                <w:lang w:eastAsia="en-GB"/>
              </w:rPr>
            </w:pPr>
            <w:r>
              <w:rPr>
                <w:rFonts w:eastAsia="Times New Roman"/>
                <w:color w:val="000000" w:themeColor="text1"/>
                <w:szCs w:val="20"/>
                <w:lang w:eastAsia="en-GB"/>
              </w:rPr>
              <w:t>UNDESA</w:t>
            </w:r>
          </w:p>
        </w:tc>
        <w:tc>
          <w:tcPr>
            <w:tcW w:w="1710" w:type="dxa"/>
            <w:vAlign w:val="center"/>
          </w:tcPr>
          <w:p w14:paraId="144F4154" w14:textId="77777777" w:rsidR="00786DD5" w:rsidRDefault="00786DD5" w:rsidP="006C2A43">
            <w:pPr>
              <w:rPr>
                <w:rFonts w:eastAsia="Times New Roman"/>
                <w:color w:val="000000" w:themeColor="text1"/>
                <w:szCs w:val="20"/>
                <w:lang w:eastAsia="en-GB"/>
              </w:rPr>
            </w:pPr>
            <w:r>
              <w:rPr>
                <w:rFonts w:eastAsia="Times New Roman"/>
                <w:color w:val="000000" w:themeColor="text1"/>
                <w:szCs w:val="20"/>
                <w:lang w:eastAsia="en-GB"/>
              </w:rPr>
              <w:t xml:space="preserve">Ministry of National Planning and </w:t>
            </w:r>
            <w:r>
              <w:rPr>
                <w:rFonts w:eastAsia="Times New Roman"/>
                <w:color w:val="000000" w:themeColor="text1"/>
                <w:szCs w:val="20"/>
                <w:lang w:eastAsia="en-GB"/>
              </w:rPr>
              <w:lastRenderedPageBreak/>
              <w:t xml:space="preserve">Infrastructure/ SDG Division </w:t>
            </w:r>
          </w:p>
        </w:tc>
        <w:tc>
          <w:tcPr>
            <w:tcW w:w="1710" w:type="dxa"/>
            <w:vAlign w:val="center"/>
          </w:tcPr>
          <w:p w14:paraId="3823FDB5" w14:textId="6DFB4D5F" w:rsidR="00786DD5" w:rsidRDefault="00B06AB0" w:rsidP="006C2A43">
            <w:pPr>
              <w:rPr>
                <w:rFonts w:eastAsia="Times New Roman"/>
                <w:color w:val="000000" w:themeColor="text1"/>
                <w:szCs w:val="20"/>
                <w:lang w:eastAsia="en-GB"/>
              </w:rPr>
            </w:pPr>
            <w:r>
              <w:rPr>
                <w:rFonts w:eastAsia="Times New Roman"/>
                <w:color w:val="000000" w:themeColor="text1"/>
                <w:szCs w:val="20"/>
                <w:lang w:eastAsia="en-GB"/>
              </w:rPr>
              <w:lastRenderedPageBreak/>
              <w:t>60,000</w:t>
            </w:r>
            <w:r w:rsidR="006F5C17">
              <w:rPr>
                <w:rFonts w:eastAsia="Times New Roman"/>
                <w:color w:val="000000" w:themeColor="text1"/>
                <w:szCs w:val="20"/>
                <w:lang w:eastAsia="en-GB"/>
              </w:rPr>
              <w:t xml:space="preserve"> USD</w:t>
            </w:r>
          </w:p>
          <w:p w14:paraId="3F89E33F" w14:textId="5C493E8C" w:rsidR="006F5C17" w:rsidRDefault="006F5C17" w:rsidP="006C2A43">
            <w:pPr>
              <w:rPr>
                <w:rFonts w:eastAsia="Times New Roman"/>
                <w:color w:val="000000" w:themeColor="text1"/>
                <w:szCs w:val="20"/>
                <w:lang w:eastAsia="en-GB"/>
              </w:rPr>
            </w:pPr>
            <w:r>
              <w:rPr>
                <w:rFonts w:eastAsia="Times New Roman"/>
                <w:color w:val="000000" w:themeColor="text1"/>
                <w:szCs w:val="20"/>
                <w:lang w:eastAsia="en-GB"/>
              </w:rPr>
              <w:t>UNDESA</w:t>
            </w:r>
          </w:p>
        </w:tc>
        <w:tc>
          <w:tcPr>
            <w:tcW w:w="1890" w:type="dxa"/>
            <w:vAlign w:val="center"/>
          </w:tcPr>
          <w:p w14:paraId="27DFB66A" w14:textId="77777777" w:rsidR="00786DD5" w:rsidRDefault="00786DD5" w:rsidP="006C2A43">
            <w:pPr>
              <w:rPr>
                <w:rFonts w:eastAsia="Times New Roman"/>
                <w:color w:val="000000" w:themeColor="text1"/>
                <w:szCs w:val="20"/>
                <w:lang w:eastAsia="en-GB"/>
              </w:rPr>
            </w:pPr>
            <w:r>
              <w:rPr>
                <w:rFonts w:eastAsia="Times New Roman"/>
                <w:color w:val="000000" w:themeColor="text1"/>
                <w:szCs w:val="20"/>
                <w:lang w:eastAsia="en-GB"/>
              </w:rPr>
              <w:t xml:space="preserve">Mr. </w:t>
            </w:r>
            <w:r w:rsidRPr="005014CD">
              <w:rPr>
                <w:rFonts w:eastAsia="Times New Roman"/>
                <w:color w:val="000000" w:themeColor="text1"/>
                <w:szCs w:val="20"/>
                <w:lang w:eastAsia="en-GB"/>
              </w:rPr>
              <w:t>Ola Goransson</w:t>
            </w:r>
          </w:p>
          <w:p w14:paraId="4C65C1C5" w14:textId="77777777" w:rsidR="00786DD5" w:rsidRPr="00FF2F22" w:rsidRDefault="00786DD5" w:rsidP="006C2A43">
            <w:pPr>
              <w:rPr>
                <w:rFonts w:eastAsia="Times New Roman"/>
                <w:color w:val="000000" w:themeColor="text1"/>
                <w:szCs w:val="20"/>
                <w:highlight w:val="yellow"/>
                <w:lang w:eastAsia="en-GB"/>
              </w:rPr>
            </w:pPr>
            <w:r w:rsidRPr="005014CD">
              <w:rPr>
                <w:rFonts w:eastAsia="Times New Roman"/>
                <w:color w:val="000000" w:themeColor="text1"/>
                <w:szCs w:val="20"/>
                <w:lang w:eastAsia="en-GB"/>
              </w:rPr>
              <w:lastRenderedPageBreak/>
              <w:t>goranssono@un.org</w:t>
            </w:r>
          </w:p>
        </w:tc>
      </w:tr>
    </w:tbl>
    <w:p w14:paraId="7986DDD0" w14:textId="77777777" w:rsidR="00E207B7" w:rsidRPr="00CD3D9C" w:rsidRDefault="00E207B7" w:rsidP="001134F6">
      <w:pPr>
        <w:rPr>
          <w:rFonts w:eastAsia="Times New Roman"/>
          <w:color w:val="000000" w:themeColor="text1"/>
          <w:szCs w:val="20"/>
          <w:lang w:eastAsia="en-GB"/>
        </w:rPr>
      </w:pPr>
    </w:p>
    <w:p w14:paraId="5DC21410" w14:textId="4A29C410" w:rsidR="00ED18C9" w:rsidRDefault="00E207B7" w:rsidP="001134F6">
      <w:pPr>
        <w:rPr>
          <w:rFonts w:eastAsia="Times New Roman"/>
          <w:b/>
          <w:color w:val="0070C0"/>
          <w:szCs w:val="20"/>
          <w:lang w:eastAsia="en-GB"/>
        </w:rPr>
      </w:pPr>
      <w:r w:rsidRPr="00CD3D9C">
        <w:rPr>
          <w:rFonts w:eastAsia="Times New Roman"/>
          <w:b/>
          <w:color w:val="0070C0"/>
          <w:szCs w:val="20"/>
          <w:lang w:eastAsia="en-GB"/>
        </w:rPr>
        <w:t xml:space="preserve">Annex </w:t>
      </w:r>
      <w:r w:rsidR="00081CE7" w:rsidRPr="00CD3D9C">
        <w:rPr>
          <w:rFonts w:eastAsia="Times New Roman"/>
          <w:b/>
          <w:color w:val="0070C0"/>
          <w:szCs w:val="20"/>
          <w:lang w:eastAsia="en-GB"/>
        </w:rPr>
        <w:t>2</w:t>
      </w:r>
      <w:r w:rsidR="009A4EA4" w:rsidRPr="00CD3D9C">
        <w:rPr>
          <w:rFonts w:eastAsia="Times New Roman"/>
          <w:b/>
          <w:color w:val="0070C0"/>
          <w:szCs w:val="20"/>
          <w:lang w:eastAsia="en-GB"/>
        </w:rPr>
        <w:t xml:space="preserve">. </w:t>
      </w:r>
      <w:r w:rsidR="00ED18C9" w:rsidRPr="00CD3D9C">
        <w:rPr>
          <w:rFonts w:eastAsia="Times New Roman"/>
          <w:b/>
          <w:color w:val="0070C0"/>
          <w:szCs w:val="20"/>
          <w:lang w:eastAsia="en-GB"/>
        </w:rPr>
        <w:t xml:space="preserve">Results Framework </w:t>
      </w:r>
    </w:p>
    <w:p w14:paraId="23709DDA" w14:textId="77777777" w:rsidR="00F06D1D" w:rsidRPr="00CD3D9C" w:rsidRDefault="00F06D1D" w:rsidP="00F06D1D">
      <w:pPr>
        <w:rPr>
          <w:rFonts w:eastAsia="Times New Roman"/>
          <w:b/>
          <w:color w:val="0070C0"/>
          <w:szCs w:val="20"/>
          <w:lang w:eastAsia="en-GB"/>
        </w:rPr>
      </w:pPr>
    </w:p>
    <w:p w14:paraId="33AD00BD" w14:textId="68810F57" w:rsidR="00322376" w:rsidRPr="00CD3D9C" w:rsidRDefault="00081CE7" w:rsidP="001134F6">
      <w:pPr>
        <w:contextualSpacing/>
        <w:rPr>
          <w:rFonts w:eastAsia="Times New Roman"/>
          <w:b/>
          <w:bCs/>
          <w:color w:val="0070C0"/>
          <w:szCs w:val="20"/>
          <w:u w:val="single"/>
          <w:lang w:eastAsia="en-GB"/>
        </w:rPr>
      </w:pPr>
      <w:r w:rsidRPr="00CD3D9C">
        <w:rPr>
          <w:rFonts w:eastAsia="Times New Roman"/>
          <w:b/>
          <w:bCs/>
          <w:color w:val="0070C0"/>
          <w:szCs w:val="20"/>
          <w:u w:val="single"/>
          <w:lang w:eastAsia="en-GB"/>
        </w:rPr>
        <w:t>2.</w:t>
      </w:r>
      <w:r w:rsidR="00334D66" w:rsidRPr="00CD3D9C">
        <w:rPr>
          <w:rFonts w:eastAsia="Times New Roman"/>
          <w:b/>
          <w:bCs/>
          <w:color w:val="0070C0"/>
          <w:szCs w:val="20"/>
          <w:u w:val="single"/>
          <w:lang w:eastAsia="en-GB"/>
        </w:rPr>
        <w:t xml:space="preserve">1. Targets for </w:t>
      </w:r>
      <w:r w:rsidR="00322376" w:rsidRPr="00CD3D9C">
        <w:rPr>
          <w:rFonts w:eastAsia="Times New Roman"/>
          <w:b/>
          <w:bCs/>
          <w:color w:val="0070C0"/>
          <w:szCs w:val="20"/>
          <w:u w:val="single"/>
          <w:lang w:eastAsia="en-GB"/>
        </w:rPr>
        <w:t xml:space="preserve">Joint SDG Fund </w:t>
      </w:r>
      <w:r w:rsidR="00334D66" w:rsidRPr="00CD3D9C">
        <w:rPr>
          <w:rFonts w:eastAsia="Times New Roman"/>
          <w:b/>
          <w:bCs/>
          <w:color w:val="0070C0"/>
          <w:szCs w:val="20"/>
          <w:u w:val="single"/>
          <w:lang w:eastAsia="en-GB"/>
        </w:rPr>
        <w:t>Results Framework</w:t>
      </w:r>
    </w:p>
    <w:p w14:paraId="24B42ED9" w14:textId="77777777" w:rsidR="00D953C0" w:rsidRPr="00CD3D9C" w:rsidRDefault="00D953C0" w:rsidP="001134F6">
      <w:pPr>
        <w:rPr>
          <w:color w:val="000000" w:themeColor="text1"/>
          <w:szCs w:val="20"/>
        </w:rPr>
      </w:pPr>
    </w:p>
    <w:p w14:paraId="612ED9D1" w14:textId="40A37DAF" w:rsidR="00334D66" w:rsidRPr="00CD3D9C" w:rsidRDefault="004B54CB" w:rsidP="001134F6">
      <w:pPr>
        <w:rPr>
          <w:rFonts w:eastAsiaTheme="majorEastAsia"/>
          <w:bCs/>
          <w:color w:val="000000" w:themeColor="text1"/>
          <w:szCs w:val="20"/>
        </w:rPr>
      </w:pPr>
      <w:r w:rsidRPr="00CD3D9C">
        <w:rPr>
          <w:rFonts w:eastAsiaTheme="majorEastAsia"/>
          <w:b/>
          <w:color w:val="000000" w:themeColor="text1"/>
          <w:szCs w:val="20"/>
        </w:rPr>
        <w:t xml:space="preserve">Joint SDG Fund </w:t>
      </w:r>
      <w:r w:rsidR="00322376" w:rsidRPr="00CD3D9C">
        <w:rPr>
          <w:rFonts w:eastAsiaTheme="majorEastAsia"/>
          <w:b/>
          <w:color w:val="000000" w:themeColor="text1"/>
          <w:szCs w:val="20"/>
        </w:rPr>
        <w:t xml:space="preserve">Outcome 2: </w:t>
      </w:r>
      <w:r w:rsidR="00322376" w:rsidRPr="00CD3D9C">
        <w:rPr>
          <w:rFonts w:eastAsiaTheme="majorEastAsia"/>
          <w:bCs/>
          <w:color w:val="000000" w:themeColor="text1"/>
          <w:szCs w:val="20"/>
        </w:rPr>
        <w:t>Additional financing leveraged to accelerate SDG achievement</w:t>
      </w:r>
    </w:p>
    <w:p w14:paraId="3A314126" w14:textId="77777777" w:rsidR="00734536" w:rsidRPr="00CD3D9C" w:rsidRDefault="00734536" w:rsidP="001134F6">
      <w:pPr>
        <w:rPr>
          <w:rFonts w:eastAsiaTheme="majorEastAsia"/>
          <w:b/>
          <w:color w:val="000000" w:themeColor="text1"/>
          <w:szCs w:val="20"/>
        </w:rPr>
      </w:pPr>
    </w:p>
    <w:tbl>
      <w:tblPr>
        <w:tblStyle w:val="TableGrid"/>
        <w:tblW w:w="13633" w:type="dxa"/>
        <w:tblLayout w:type="fixed"/>
        <w:tblLook w:val="04A0" w:firstRow="1" w:lastRow="0" w:firstColumn="1" w:lastColumn="0" w:noHBand="0" w:noVBand="1"/>
      </w:tblPr>
      <w:tblGrid>
        <w:gridCol w:w="9398"/>
        <w:gridCol w:w="1355"/>
        <w:gridCol w:w="1440"/>
        <w:gridCol w:w="1440"/>
      </w:tblGrid>
      <w:tr w:rsidR="00612315" w:rsidRPr="001E7D91" w14:paraId="5A0B042A" w14:textId="6DE1B7F2" w:rsidTr="001E4BD3">
        <w:trPr>
          <w:trHeight w:val="277"/>
        </w:trPr>
        <w:tc>
          <w:tcPr>
            <w:tcW w:w="9398" w:type="dxa"/>
            <w:vMerge w:val="restart"/>
            <w:shd w:val="clear" w:color="auto" w:fill="BDD6EE" w:themeFill="accent5" w:themeFillTint="66"/>
            <w:vAlign w:val="center"/>
          </w:tcPr>
          <w:p w14:paraId="7D017B85" w14:textId="77777777" w:rsidR="00612315" w:rsidRPr="001E7D91" w:rsidRDefault="00612315" w:rsidP="006C2A43">
            <w:pPr>
              <w:rPr>
                <w:rFonts w:eastAsiaTheme="majorEastAsia"/>
                <w:b/>
                <w:color w:val="000000" w:themeColor="text1"/>
                <w:szCs w:val="20"/>
              </w:rPr>
            </w:pPr>
            <w:r w:rsidRPr="001E7D91">
              <w:rPr>
                <w:rFonts w:eastAsiaTheme="majorEastAsia"/>
                <w:b/>
                <w:color w:val="000000" w:themeColor="text1"/>
                <w:szCs w:val="20"/>
              </w:rPr>
              <w:t>Indicators</w:t>
            </w:r>
          </w:p>
        </w:tc>
        <w:tc>
          <w:tcPr>
            <w:tcW w:w="4235" w:type="dxa"/>
            <w:gridSpan w:val="3"/>
            <w:shd w:val="clear" w:color="auto" w:fill="BDD6EE" w:themeFill="accent5" w:themeFillTint="66"/>
            <w:vAlign w:val="center"/>
          </w:tcPr>
          <w:p w14:paraId="075AAD96" w14:textId="7740D83E" w:rsidR="00612315" w:rsidRPr="001E7D91" w:rsidRDefault="00612315" w:rsidP="006C2A43">
            <w:pPr>
              <w:jc w:val="center"/>
              <w:rPr>
                <w:rFonts w:eastAsiaTheme="majorEastAsia"/>
                <w:b/>
                <w:color w:val="000000" w:themeColor="text1"/>
                <w:szCs w:val="20"/>
              </w:rPr>
            </w:pPr>
            <w:r w:rsidRPr="001E7D91">
              <w:rPr>
                <w:rFonts w:eastAsiaTheme="majorEastAsia"/>
                <w:b/>
                <w:color w:val="000000" w:themeColor="text1"/>
                <w:szCs w:val="20"/>
              </w:rPr>
              <w:t>Targets</w:t>
            </w:r>
          </w:p>
        </w:tc>
      </w:tr>
      <w:tr w:rsidR="00612315" w:rsidRPr="001E7D91" w14:paraId="4F45644C" w14:textId="3CC211E8" w:rsidTr="00612315">
        <w:trPr>
          <w:trHeight w:val="134"/>
        </w:trPr>
        <w:tc>
          <w:tcPr>
            <w:tcW w:w="9398" w:type="dxa"/>
            <w:vMerge/>
            <w:vAlign w:val="center"/>
          </w:tcPr>
          <w:p w14:paraId="73ABB7E4" w14:textId="77777777" w:rsidR="00612315" w:rsidRPr="001E7D91" w:rsidRDefault="00612315" w:rsidP="006C2A43">
            <w:pPr>
              <w:rPr>
                <w:rFonts w:eastAsiaTheme="majorEastAsia"/>
                <w:b/>
                <w:color w:val="000000" w:themeColor="text1"/>
                <w:szCs w:val="20"/>
              </w:rPr>
            </w:pPr>
          </w:p>
        </w:tc>
        <w:tc>
          <w:tcPr>
            <w:tcW w:w="1355" w:type="dxa"/>
            <w:vAlign w:val="center"/>
          </w:tcPr>
          <w:p w14:paraId="1DBA909A" w14:textId="77777777" w:rsidR="00612315" w:rsidRPr="001E7D91" w:rsidRDefault="00612315" w:rsidP="006C2A43">
            <w:pPr>
              <w:jc w:val="center"/>
              <w:rPr>
                <w:rFonts w:eastAsiaTheme="majorEastAsia"/>
                <w:bCs/>
                <w:color w:val="000000" w:themeColor="text1"/>
                <w:szCs w:val="20"/>
              </w:rPr>
            </w:pPr>
            <w:r w:rsidRPr="001E7D91">
              <w:rPr>
                <w:rFonts w:eastAsiaTheme="majorEastAsia"/>
                <w:bCs/>
                <w:color w:val="000000" w:themeColor="text1"/>
                <w:szCs w:val="20"/>
              </w:rPr>
              <w:t>2020</w:t>
            </w:r>
          </w:p>
        </w:tc>
        <w:tc>
          <w:tcPr>
            <w:tcW w:w="1440" w:type="dxa"/>
            <w:vAlign w:val="center"/>
          </w:tcPr>
          <w:p w14:paraId="194A37A5" w14:textId="77777777" w:rsidR="00612315" w:rsidRPr="001E7D91" w:rsidRDefault="00612315" w:rsidP="006C2A43">
            <w:pPr>
              <w:jc w:val="center"/>
              <w:rPr>
                <w:rFonts w:eastAsiaTheme="majorEastAsia"/>
                <w:bCs/>
                <w:color w:val="000000" w:themeColor="text1"/>
                <w:szCs w:val="20"/>
              </w:rPr>
            </w:pPr>
            <w:r w:rsidRPr="001E7D91">
              <w:rPr>
                <w:rFonts w:eastAsiaTheme="majorEastAsia"/>
                <w:bCs/>
                <w:color w:val="000000" w:themeColor="text1"/>
                <w:szCs w:val="20"/>
              </w:rPr>
              <w:t>2021</w:t>
            </w:r>
          </w:p>
        </w:tc>
        <w:tc>
          <w:tcPr>
            <w:tcW w:w="1440" w:type="dxa"/>
          </w:tcPr>
          <w:p w14:paraId="7C35D6E1" w14:textId="48FDF078" w:rsidR="00612315" w:rsidRPr="001E7D91" w:rsidRDefault="00612315" w:rsidP="006C2A43">
            <w:pPr>
              <w:jc w:val="center"/>
              <w:rPr>
                <w:rFonts w:eastAsiaTheme="majorEastAsia"/>
                <w:bCs/>
                <w:color w:val="000000" w:themeColor="text1"/>
                <w:szCs w:val="20"/>
              </w:rPr>
            </w:pPr>
            <w:r w:rsidRPr="00612315">
              <w:rPr>
                <w:rFonts w:eastAsiaTheme="majorEastAsia"/>
                <w:bCs/>
                <w:color w:val="FF0000"/>
                <w:szCs w:val="20"/>
              </w:rPr>
              <w:t>2022</w:t>
            </w:r>
          </w:p>
        </w:tc>
      </w:tr>
      <w:tr w:rsidR="00612315" w:rsidRPr="001E7D91" w14:paraId="235355C3" w14:textId="388181A1" w:rsidTr="00612315">
        <w:trPr>
          <w:trHeight w:val="277"/>
        </w:trPr>
        <w:tc>
          <w:tcPr>
            <w:tcW w:w="9398" w:type="dxa"/>
            <w:vAlign w:val="center"/>
          </w:tcPr>
          <w:p w14:paraId="342589A8" w14:textId="77777777" w:rsidR="00612315" w:rsidRPr="001E7D91" w:rsidRDefault="00612315" w:rsidP="006C2A43">
            <w:pPr>
              <w:rPr>
                <w:rFonts w:eastAsiaTheme="majorEastAsia"/>
                <w:bCs/>
                <w:color w:val="000000" w:themeColor="text1"/>
                <w:szCs w:val="20"/>
              </w:rPr>
            </w:pPr>
            <w:r w:rsidRPr="001E7D91">
              <w:rPr>
                <w:rFonts w:eastAsiaTheme="majorEastAsia"/>
                <w:bCs/>
                <w:color w:val="000000" w:themeColor="text1"/>
                <w:szCs w:val="20"/>
              </w:rPr>
              <w:t>2.1:</w:t>
            </w:r>
            <w:r w:rsidRPr="001E7D91">
              <w:rPr>
                <w:bCs/>
                <w:color w:val="000000" w:themeColor="text1"/>
                <w:szCs w:val="20"/>
              </w:rPr>
              <w:t xml:space="preserve"> Ratio of financing for i</w:t>
            </w:r>
            <w:r w:rsidRPr="001E7D91">
              <w:rPr>
                <w:rFonts w:eastAsiaTheme="majorEastAsia"/>
                <w:bCs/>
                <w:color w:val="000000" w:themeColor="text1"/>
                <w:szCs w:val="20"/>
              </w:rPr>
              <w:t xml:space="preserve">ntegrated multi-sectoral solutions leveraged </w:t>
            </w:r>
            <w:r w:rsidRPr="001E7D91">
              <w:rPr>
                <w:bCs/>
                <w:color w:val="000000" w:themeColor="text1"/>
                <w:szCs w:val="20"/>
              </w:rPr>
              <w:t>in terms of scope</w:t>
            </w:r>
            <w:r w:rsidRPr="001E7D91">
              <w:rPr>
                <w:bCs/>
                <w:color w:val="000000" w:themeColor="text1"/>
                <w:szCs w:val="20"/>
                <w:vertAlign w:val="superscript"/>
              </w:rPr>
              <w:footnoteReference w:id="12"/>
            </w:r>
            <w:r w:rsidRPr="001E7D91">
              <w:rPr>
                <w:bCs/>
                <w:color w:val="000000" w:themeColor="text1"/>
                <w:szCs w:val="20"/>
              </w:rPr>
              <w:t xml:space="preserve"> </w:t>
            </w:r>
          </w:p>
        </w:tc>
        <w:tc>
          <w:tcPr>
            <w:tcW w:w="1355" w:type="dxa"/>
            <w:vAlign w:val="center"/>
          </w:tcPr>
          <w:p w14:paraId="1F1EC7E7" w14:textId="77777777" w:rsidR="00612315" w:rsidRPr="001E7D91" w:rsidRDefault="00612315" w:rsidP="006C2A43">
            <w:pPr>
              <w:jc w:val="center"/>
              <w:rPr>
                <w:rFonts w:eastAsiaTheme="majorEastAsia"/>
                <w:bCs/>
                <w:color w:val="000000" w:themeColor="text1"/>
                <w:szCs w:val="20"/>
              </w:rPr>
            </w:pPr>
            <w:r w:rsidRPr="00EF749E">
              <w:rPr>
                <w:rFonts w:eastAsiaTheme="majorEastAsia"/>
                <w:bCs/>
                <w:color w:val="000000" w:themeColor="text1"/>
                <w:sz w:val="18"/>
                <w:szCs w:val="18"/>
                <w:lang w:val="id-ID"/>
              </w:rPr>
              <w:t>TBD</w:t>
            </w:r>
          </w:p>
        </w:tc>
        <w:tc>
          <w:tcPr>
            <w:tcW w:w="1440" w:type="dxa"/>
            <w:vAlign w:val="center"/>
          </w:tcPr>
          <w:p w14:paraId="7AE7A289" w14:textId="77777777" w:rsidR="00612315" w:rsidRPr="001E7D91" w:rsidRDefault="00612315" w:rsidP="006C2A43">
            <w:pPr>
              <w:jc w:val="center"/>
              <w:rPr>
                <w:rFonts w:eastAsiaTheme="majorEastAsia"/>
                <w:bCs/>
                <w:color w:val="000000" w:themeColor="text1"/>
                <w:szCs w:val="20"/>
              </w:rPr>
            </w:pPr>
            <w:r w:rsidRPr="00496D91">
              <w:rPr>
                <w:rFonts w:eastAsiaTheme="majorEastAsia"/>
                <w:bCs/>
                <w:color w:val="000000" w:themeColor="text1"/>
                <w:sz w:val="18"/>
                <w:szCs w:val="18"/>
                <w:lang w:val="id-ID"/>
              </w:rPr>
              <w:t>TBD</w:t>
            </w:r>
          </w:p>
        </w:tc>
        <w:tc>
          <w:tcPr>
            <w:tcW w:w="1440" w:type="dxa"/>
          </w:tcPr>
          <w:p w14:paraId="5B56DC1F" w14:textId="4EA6DA91" w:rsidR="00612315" w:rsidRPr="00DC6038" w:rsidRDefault="00DC6038" w:rsidP="006C2A43">
            <w:pPr>
              <w:jc w:val="center"/>
              <w:rPr>
                <w:rFonts w:eastAsiaTheme="majorEastAsia"/>
                <w:bCs/>
                <w:color w:val="000000" w:themeColor="text1"/>
                <w:sz w:val="18"/>
                <w:szCs w:val="18"/>
              </w:rPr>
            </w:pPr>
            <w:r>
              <w:rPr>
                <w:rFonts w:eastAsiaTheme="majorEastAsia"/>
                <w:bCs/>
                <w:color w:val="000000" w:themeColor="text1"/>
                <w:sz w:val="18"/>
                <w:szCs w:val="18"/>
              </w:rPr>
              <w:t>TBD</w:t>
            </w:r>
          </w:p>
        </w:tc>
      </w:tr>
      <w:tr w:rsidR="00612315" w:rsidRPr="001E7D91" w14:paraId="5F0958D6" w14:textId="2E477AE9" w:rsidTr="00612315">
        <w:trPr>
          <w:trHeight w:val="277"/>
        </w:trPr>
        <w:tc>
          <w:tcPr>
            <w:tcW w:w="9398" w:type="dxa"/>
            <w:vAlign w:val="center"/>
          </w:tcPr>
          <w:p w14:paraId="4F0DD435" w14:textId="77777777" w:rsidR="00612315" w:rsidRPr="001E7D91" w:rsidRDefault="00612315" w:rsidP="006C2A43">
            <w:pPr>
              <w:rPr>
                <w:rFonts w:eastAsiaTheme="majorEastAsia"/>
                <w:bCs/>
                <w:color w:val="000000" w:themeColor="text1"/>
                <w:szCs w:val="20"/>
              </w:rPr>
            </w:pPr>
            <w:r w:rsidRPr="001E7D91">
              <w:rPr>
                <w:rFonts w:eastAsiaTheme="majorEastAsia"/>
                <w:bCs/>
                <w:color w:val="000000" w:themeColor="text1"/>
                <w:szCs w:val="20"/>
              </w:rPr>
              <w:t xml:space="preserve">2.2: </w:t>
            </w:r>
            <w:r w:rsidRPr="001E7D91">
              <w:rPr>
                <w:bCs/>
                <w:color w:val="000000" w:themeColor="text1"/>
                <w:szCs w:val="20"/>
              </w:rPr>
              <w:t>Ratio of financing for i</w:t>
            </w:r>
            <w:r w:rsidRPr="001E7D91">
              <w:rPr>
                <w:rFonts w:eastAsiaTheme="majorEastAsia"/>
                <w:bCs/>
                <w:color w:val="000000" w:themeColor="text1"/>
                <w:szCs w:val="20"/>
              </w:rPr>
              <w:t>ntegrated multi-sectoral solutions leveraged</w:t>
            </w:r>
            <w:r w:rsidRPr="001E7D91">
              <w:rPr>
                <w:bCs/>
                <w:color w:val="000000" w:themeColor="text1"/>
                <w:szCs w:val="20"/>
              </w:rPr>
              <w:t xml:space="preserve"> in terms of scale</w:t>
            </w:r>
            <w:r w:rsidRPr="001E7D91">
              <w:rPr>
                <w:bCs/>
                <w:color w:val="000000" w:themeColor="text1"/>
                <w:szCs w:val="20"/>
                <w:vertAlign w:val="superscript"/>
              </w:rPr>
              <w:footnoteReference w:id="13"/>
            </w:r>
            <w:r w:rsidRPr="001E7D91">
              <w:rPr>
                <w:bCs/>
                <w:color w:val="000000" w:themeColor="text1"/>
                <w:szCs w:val="20"/>
              </w:rPr>
              <w:t xml:space="preserve"> </w:t>
            </w:r>
          </w:p>
        </w:tc>
        <w:tc>
          <w:tcPr>
            <w:tcW w:w="1355" w:type="dxa"/>
            <w:vAlign w:val="center"/>
          </w:tcPr>
          <w:p w14:paraId="6092E233" w14:textId="77777777" w:rsidR="00612315" w:rsidRPr="001E7D91" w:rsidRDefault="00612315" w:rsidP="006C2A43">
            <w:pPr>
              <w:jc w:val="center"/>
              <w:rPr>
                <w:rFonts w:eastAsiaTheme="majorEastAsia"/>
                <w:bCs/>
                <w:color w:val="000000" w:themeColor="text1"/>
                <w:szCs w:val="20"/>
              </w:rPr>
            </w:pPr>
            <w:r w:rsidRPr="00EF749E">
              <w:rPr>
                <w:rFonts w:eastAsiaTheme="majorEastAsia"/>
                <w:bCs/>
                <w:color w:val="000000" w:themeColor="text1"/>
                <w:sz w:val="18"/>
                <w:szCs w:val="18"/>
                <w:lang w:val="id-ID"/>
              </w:rPr>
              <w:t>TBD</w:t>
            </w:r>
          </w:p>
        </w:tc>
        <w:tc>
          <w:tcPr>
            <w:tcW w:w="1440" w:type="dxa"/>
            <w:vAlign w:val="center"/>
          </w:tcPr>
          <w:p w14:paraId="7DFC9C69" w14:textId="77777777" w:rsidR="00612315" w:rsidRPr="001E7D91" w:rsidRDefault="00612315" w:rsidP="006C2A43">
            <w:pPr>
              <w:jc w:val="center"/>
              <w:rPr>
                <w:rFonts w:eastAsiaTheme="majorEastAsia"/>
                <w:bCs/>
                <w:color w:val="000000" w:themeColor="text1"/>
                <w:szCs w:val="20"/>
              </w:rPr>
            </w:pPr>
            <w:r w:rsidRPr="00496D91">
              <w:rPr>
                <w:rFonts w:eastAsiaTheme="majorEastAsia"/>
                <w:bCs/>
                <w:color w:val="000000" w:themeColor="text1"/>
                <w:sz w:val="18"/>
                <w:szCs w:val="18"/>
                <w:lang w:val="id-ID"/>
              </w:rPr>
              <w:t>TBD</w:t>
            </w:r>
          </w:p>
        </w:tc>
        <w:tc>
          <w:tcPr>
            <w:tcW w:w="1440" w:type="dxa"/>
          </w:tcPr>
          <w:p w14:paraId="07431AD5" w14:textId="786DEA2A" w:rsidR="00612315" w:rsidRPr="00DC6038" w:rsidRDefault="00DC6038" w:rsidP="006C2A43">
            <w:pPr>
              <w:jc w:val="center"/>
              <w:rPr>
                <w:rFonts w:eastAsiaTheme="majorEastAsia"/>
                <w:bCs/>
                <w:color w:val="000000" w:themeColor="text1"/>
                <w:sz w:val="18"/>
                <w:szCs w:val="18"/>
              </w:rPr>
            </w:pPr>
            <w:r>
              <w:rPr>
                <w:rFonts w:eastAsiaTheme="majorEastAsia"/>
                <w:bCs/>
                <w:color w:val="000000" w:themeColor="text1"/>
                <w:sz w:val="18"/>
                <w:szCs w:val="18"/>
              </w:rPr>
              <w:t>TBD</w:t>
            </w:r>
          </w:p>
        </w:tc>
      </w:tr>
    </w:tbl>
    <w:p w14:paraId="12C6ECA4" w14:textId="77777777" w:rsidR="00322376" w:rsidRPr="00CD3D9C" w:rsidRDefault="00322376" w:rsidP="001134F6">
      <w:pPr>
        <w:rPr>
          <w:rFonts w:eastAsia="Times New Roman"/>
          <w:color w:val="000000" w:themeColor="text1"/>
          <w:szCs w:val="20"/>
          <w:lang w:eastAsia="en-GB"/>
        </w:rPr>
      </w:pPr>
    </w:p>
    <w:p w14:paraId="32EB8052" w14:textId="5B1985DA" w:rsidR="00334D66" w:rsidRPr="00CD3D9C" w:rsidRDefault="004B54CB" w:rsidP="001134F6">
      <w:pPr>
        <w:rPr>
          <w:rFonts w:eastAsiaTheme="majorEastAsia"/>
          <w:bCs/>
          <w:color w:val="000000" w:themeColor="text1"/>
          <w:szCs w:val="20"/>
        </w:rPr>
      </w:pPr>
      <w:r w:rsidRPr="00CD3D9C">
        <w:rPr>
          <w:rFonts w:eastAsiaTheme="majorEastAsia"/>
          <w:b/>
          <w:color w:val="000000" w:themeColor="text1"/>
          <w:szCs w:val="20"/>
        </w:rPr>
        <w:t xml:space="preserve">Joint SDG Fund </w:t>
      </w:r>
      <w:r w:rsidR="00322376" w:rsidRPr="00CD3D9C">
        <w:rPr>
          <w:rFonts w:eastAsiaTheme="majorEastAsia"/>
          <w:b/>
          <w:color w:val="000000" w:themeColor="text1"/>
          <w:szCs w:val="20"/>
        </w:rPr>
        <w:t xml:space="preserve">Output 4: </w:t>
      </w:r>
      <w:r w:rsidR="00322376" w:rsidRPr="00CD3D9C">
        <w:rPr>
          <w:rFonts w:eastAsiaTheme="majorEastAsia"/>
          <w:bCs/>
          <w:color w:val="000000" w:themeColor="text1"/>
          <w:szCs w:val="20"/>
        </w:rPr>
        <w:t>Integrated financing strategies for accelerating SDG progress implemented</w:t>
      </w:r>
    </w:p>
    <w:p w14:paraId="47E98244" w14:textId="48852AF8" w:rsidR="00BE7DF6" w:rsidRPr="00CD3D9C" w:rsidRDefault="00BE7DF6" w:rsidP="001134F6">
      <w:pPr>
        <w:rPr>
          <w:rFonts w:eastAsiaTheme="majorEastAsia"/>
          <w:b/>
          <w:color w:val="000000" w:themeColor="text1"/>
          <w:szCs w:val="20"/>
        </w:rPr>
      </w:pPr>
    </w:p>
    <w:tbl>
      <w:tblPr>
        <w:tblStyle w:val="TableGrid"/>
        <w:tblW w:w="13295" w:type="dxa"/>
        <w:tblLayout w:type="fixed"/>
        <w:tblLook w:val="04A0" w:firstRow="1" w:lastRow="0" w:firstColumn="1" w:lastColumn="0" w:noHBand="0" w:noVBand="1"/>
      </w:tblPr>
      <w:tblGrid>
        <w:gridCol w:w="8337"/>
        <w:gridCol w:w="1558"/>
        <w:gridCol w:w="1350"/>
        <w:gridCol w:w="2050"/>
      </w:tblGrid>
      <w:tr w:rsidR="00612315" w:rsidRPr="00CD3D9C" w14:paraId="20634828" w14:textId="418E8B32" w:rsidTr="008F1F7C">
        <w:trPr>
          <w:trHeight w:val="423"/>
        </w:trPr>
        <w:tc>
          <w:tcPr>
            <w:tcW w:w="8337" w:type="dxa"/>
            <w:vMerge w:val="restart"/>
            <w:shd w:val="clear" w:color="auto" w:fill="BDD6EE" w:themeFill="accent5" w:themeFillTint="66"/>
            <w:vAlign w:val="center"/>
          </w:tcPr>
          <w:p w14:paraId="67D0727D" w14:textId="77777777" w:rsidR="00612315" w:rsidRPr="00CD3D9C" w:rsidRDefault="00612315" w:rsidP="00C56B1B">
            <w:pPr>
              <w:rPr>
                <w:rFonts w:eastAsiaTheme="majorEastAsia"/>
                <w:b/>
                <w:color w:val="000000" w:themeColor="text1"/>
                <w:szCs w:val="20"/>
              </w:rPr>
            </w:pPr>
            <w:r w:rsidRPr="00CD3D9C">
              <w:rPr>
                <w:rFonts w:eastAsiaTheme="majorEastAsia"/>
                <w:b/>
                <w:color w:val="000000" w:themeColor="text1"/>
                <w:szCs w:val="20"/>
              </w:rPr>
              <w:t>Indicators</w:t>
            </w:r>
          </w:p>
        </w:tc>
        <w:tc>
          <w:tcPr>
            <w:tcW w:w="4958" w:type="dxa"/>
            <w:gridSpan w:val="3"/>
            <w:shd w:val="clear" w:color="auto" w:fill="BDD6EE" w:themeFill="accent5" w:themeFillTint="66"/>
            <w:vAlign w:val="center"/>
          </w:tcPr>
          <w:p w14:paraId="147EE16C" w14:textId="17363025" w:rsidR="00612315" w:rsidRPr="00CD3D9C" w:rsidRDefault="00612315" w:rsidP="00C56B1B">
            <w:pPr>
              <w:jc w:val="center"/>
              <w:rPr>
                <w:rFonts w:eastAsiaTheme="majorEastAsia"/>
                <w:b/>
                <w:color w:val="000000" w:themeColor="text1"/>
                <w:szCs w:val="20"/>
              </w:rPr>
            </w:pPr>
            <w:r w:rsidRPr="00CD3D9C">
              <w:rPr>
                <w:rFonts w:eastAsiaTheme="majorEastAsia"/>
                <w:b/>
                <w:color w:val="000000" w:themeColor="text1"/>
                <w:szCs w:val="20"/>
              </w:rPr>
              <w:t>Targets</w:t>
            </w:r>
          </w:p>
        </w:tc>
      </w:tr>
      <w:tr w:rsidR="00612315" w:rsidRPr="00CD3D9C" w14:paraId="4800363B" w14:textId="629AA10F" w:rsidTr="00612315">
        <w:trPr>
          <w:trHeight w:val="99"/>
        </w:trPr>
        <w:tc>
          <w:tcPr>
            <w:tcW w:w="8337" w:type="dxa"/>
            <w:vMerge/>
            <w:vAlign w:val="center"/>
          </w:tcPr>
          <w:p w14:paraId="1BD3F4D5" w14:textId="77777777" w:rsidR="00612315" w:rsidRPr="00CD3D9C" w:rsidRDefault="00612315" w:rsidP="00C56B1B">
            <w:pPr>
              <w:rPr>
                <w:rFonts w:eastAsiaTheme="majorEastAsia"/>
                <w:b/>
                <w:color w:val="000000" w:themeColor="text1"/>
                <w:szCs w:val="20"/>
              </w:rPr>
            </w:pPr>
          </w:p>
        </w:tc>
        <w:tc>
          <w:tcPr>
            <w:tcW w:w="1558" w:type="dxa"/>
            <w:vAlign w:val="center"/>
          </w:tcPr>
          <w:p w14:paraId="2D64621A" w14:textId="77777777" w:rsidR="00612315" w:rsidRPr="00CD3D9C" w:rsidRDefault="00612315" w:rsidP="004B54CB">
            <w:pPr>
              <w:jc w:val="center"/>
              <w:rPr>
                <w:rFonts w:eastAsiaTheme="majorEastAsia"/>
                <w:bCs/>
                <w:color w:val="000000" w:themeColor="text1"/>
                <w:szCs w:val="20"/>
              </w:rPr>
            </w:pPr>
            <w:r w:rsidRPr="00CD3D9C">
              <w:rPr>
                <w:rFonts w:eastAsiaTheme="majorEastAsia"/>
                <w:bCs/>
                <w:color w:val="000000" w:themeColor="text1"/>
                <w:szCs w:val="20"/>
              </w:rPr>
              <w:t>2020</w:t>
            </w:r>
          </w:p>
        </w:tc>
        <w:tc>
          <w:tcPr>
            <w:tcW w:w="1350" w:type="dxa"/>
            <w:vAlign w:val="center"/>
          </w:tcPr>
          <w:p w14:paraId="7F14474C" w14:textId="77777777" w:rsidR="00612315" w:rsidRPr="00CD3D9C" w:rsidRDefault="00612315" w:rsidP="004B54CB">
            <w:pPr>
              <w:jc w:val="center"/>
              <w:rPr>
                <w:rFonts w:eastAsiaTheme="majorEastAsia"/>
                <w:bCs/>
                <w:color w:val="000000" w:themeColor="text1"/>
                <w:szCs w:val="20"/>
              </w:rPr>
            </w:pPr>
            <w:r w:rsidRPr="00CD3D9C">
              <w:rPr>
                <w:rFonts w:eastAsiaTheme="majorEastAsia"/>
                <w:bCs/>
                <w:color w:val="000000" w:themeColor="text1"/>
                <w:szCs w:val="20"/>
              </w:rPr>
              <w:t>2021</w:t>
            </w:r>
          </w:p>
        </w:tc>
        <w:tc>
          <w:tcPr>
            <w:tcW w:w="2050" w:type="dxa"/>
          </w:tcPr>
          <w:p w14:paraId="61219876" w14:textId="7ED8A1DB" w:rsidR="00612315" w:rsidRPr="00CD3D9C" w:rsidRDefault="00612315" w:rsidP="004B54CB">
            <w:pPr>
              <w:jc w:val="center"/>
              <w:rPr>
                <w:rFonts w:eastAsiaTheme="majorEastAsia"/>
                <w:bCs/>
                <w:color w:val="000000" w:themeColor="text1"/>
                <w:szCs w:val="20"/>
              </w:rPr>
            </w:pPr>
            <w:r w:rsidRPr="00612315">
              <w:rPr>
                <w:rFonts w:eastAsiaTheme="majorEastAsia"/>
                <w:bCs/>
                <w:color w:val="FF0000"/>
                <w:szCs w:val="20"/>
              </w:rPr>
              <w:t>2022</w:t>
            </w:r>
          </w:p>
        </w:tc>
      </w:tr>
      <w:tr w:rsidR="00204951" w:rsidRPr="00CD3D9C" w14:paraId="541C2072" w14:textId="60E2C2CD" w:rsidTr="00661AA7">
        <w:trPr>
          <w:trHeight w:val="830"/>
        </w:trPr>
        <w:tc>
          <w:tcPr>
            <w:tcW w:w="8337" w:type="dxa"/>
            <w:vAlign w:val="center"/>
          </w:tcPr>
          <w:p w14:paraId="4B2D4695" w14:textId="6CAD15F0" w:rsidR="00204951" w:rsidRPr="00CD3D9C" w:rsidRDefault="00204951" w:rsidP="00204951">
            <w:pPr>
              <w:rPr>
                <w:rFonts w:eastAsiaTheme="majorEastAsia"/>
                <w:bCs/>
                <w:color w:val="000000" w:themeColor="text1"/>
                <w:szCs w:val="20"/>
              </w:rPr>
            </w:pPr>
            <w:r w:rsidRPr="00CD3D9C">
              <w:rPr>
                <w:rFonts w:eastAsiaTheme="majorEastAsia"/>
                <w:bCs/>
                <w:color w:val="000000" w:themeColor="text1"/>
                <w:szCs w:val="20"/>
              </w:rPr>
              <w:lastRenderedPageBreak/>
              <w:t>4.1:</w:t>
            </w:r>
            <w:r w:rsidRPr="00CD3D9C">
              <w:rPr>
                <w:bCs/>
                <w:color w:val="000000" w:themeColor="text1"/>
                <w:szCs w:val="20"/>
              </w:rPr>
              <w:t xml:space="preserve"> </w:t>
            </w:r>
            <w:r w:rsidRPr="00CD3D9C">
              <w:rPr>
                <w:color w:val="000000" w:themeColor="text1"/>
                <w:szCs w:val="20"/>
              </w:rPr>
              <w:t>#of integrated financing strategies that were tested (disaggregated by % successful / unsuccessful)</w:t>
            </w:r>
          </w:p>
        </w:tc>
        <w:tc>
          <w:tcPr>
            <w:tcW w:w="1558" w:type="dxa"/>
            <w:vAlign w:val="center"/>
          </w:tcPr>
          <w:p w14:paraId="22F9911B" w14:textId="397A16E8" w:rsidR="00204951" w:rsidRPr="00CD3D9C" w:rsidRDefault="00204951" w:rsidP="00204951">
            <w:pPr>
              <w:jc w:val="center"/>
              <w:rPr>
                <w:rFonts w:eastAsiaTheme="majorEastAsia"/>
                <w:bCs/>
                <w:color w:val="000000" w:themeColor="text1"/>
                <w:szCs w:val="20"/>
              </w:rPr>
            </w:pPr>
            <w:r>
              <w:rPr>
                <w:rFonts w:eastAsiaTheme="majorEastAsia"/>
                <w:bCs/>
                <w:color w:val="000000" w:themeColor="text1"/>
                <w:szCs w:val="20"/>
              </w:rPr>
              <w:t>-</w:t>
            </w:r>
          </w:p>
        </w:tc>
        <w:tc>
          <w:tcPr>
            <w:tcW w:w="1350" w:type="dxa"/>
            <w:vAlign w:val="center"/>
          </w:tcPr>
          <w:p w14:paraId="5B407D84" w14:textId="463304C5" w:rsidR="00204951" w:rsidRPr="00CD3D9C" w:rsidRDefault="00204951" w:rsidP="00204951">
            <w:pPr>
              <w:jc w:val="center"/>
              <w:rPr>
                <w:rFonts w:eastAsiaTheme="majorEastAsia"/>
                <w:bCs/>
                <w:color w:val="000000" w:themeColor="text1"/>
                <w:szCs w:val="20"/>
              </w:rPr>
            </w:pPr>
            <w:r>
              <w:rPr>
                <w:rFonts w:eastAsiaTheme="majorEastAsia"/>
                <w:bCs/>
                <w:color w:val="000000" w:themeColor="text1"/>
                <w:szCs w:val="20"/>
              </w:rPr>
              <w:t>-</w:t>
            </w:r>
          </w:p>
        </w:tc>
        <w:tc>
          <w:tcPr>
            <w:tcW w:w="2050" w:type="dxa"/>
            <w:vAlign w:val="center"/>
          </w:tcPr>
          <w:p w14:paraId="76582DCD" w14:textId="569C7ACD" w:rsidR="00204951" w:rsidRDefault="00204951" w:rsidP="00204951">
            <w:pPr>
              <w:jc w:val="center"/>
              <w:rPr>
                <w:rFonts w:eastAsiaTheme="majorEastAsia"/>
                <w:bCs/>
                <w:color w:val="000000" w:themeColor="text1"/>
                <w:szCs w:val="20"/>
              </w:rPr>
            </w:pPr>
            <w:r>
              <w:rPr>
                <w:rFonts w:eastAsiaTheme="majorEastAsia"/>
                <w:bCs/>
                <w:color w:val="000000" w:themeColor="text1"/>
                <w:szCs w:val="20"/>
              </w:rPr>
              <w:t>1</w:t>
            </w:r>
          </w:p>
        </w:tc>
      </w:tr>
      <w:tr w:rsidR="00204951" w:rsidRPr="00CD3D9C" w14:paraId="5603ED11" w14:textId="2FE210ED" w:rsidTr="00661AA7">
        <w:trPr>
          <w:trHeight w:val="423"/>
        </w:trPr>
        <w:tc>
          <w:tcPr>
            <w:tcW w:w="8337" w:type="dxa"/>
            <w:vAlign w:val="center"/>
          </w:tcPr>
          <w:p w14:paraId="56159A0B" w14:textId="472F849C" w:rsidR="00204951" w:rsidRPr="00CD3D9C" w:rsidRDefault="00204951" w:rsidP="00204951">
            <w:pPr>
              <w:rPr>
                <w:rFonts w:eastAsiaTheme="majorEastAsia"/>
                <w:bCs/>
                <w:color w:val="000000" w:themeColor="text1"/>
                <w:szCs w:val="20"/>
              </w:rPr>
            </w:pPr>
            <w:r w:rsidRPr="00CD3D9C">
              <w:rPr>
                <w:rFonts w:eastAsiaTheme="majorEastAsia"/>
                <w:bCs/>
                <w:color w:val="000000" w:themeColor="text1"/>
                <w:szCs w:val="20"/>
              </w:rPr>
              <w:t xml:space="preserve">4.2: </w:t>
            </w:r>
            <w:r w:rsidRPr="00CD3D9C">
              <w:rPr>
                <w:color w:val="000000" w:themeColor="text1"/>
                <w:szCs w:val="20"/>
              </w:rPr>
              <w:t>#of integrated financing strategies that have been implemented with partners in lead</w:t>
            </w:r>
            <w:r w:rsidRPr="00CD3D9C">
              <w:rPr>
                <w:rStyle w:val="FootnoteReference"/>
                <w:color w:val="000000" w:themeColor="text1"/>
                <w:szCs w:val="20"/>
              </w:rPr>
              <w:footnoteReference w:id="14"/>
            </w:r>
          </w:p>
        </w:tc>
        <w:tc>
          <w:tcPr>
            <w:tcW w:w="1558" w:type="dxa"/>
            <w:vAlign w:val="center"/>
          </w:tcPr>
          <w:p w14:paraId="15C36FAA" w14:textId="383ED634" w:rsidR="00204951" w:rsidRPr="00CD3D9C" w:rsidRDefault="00204951" w:rsidP="00204951">
            <w:pPr>
              <w:jc w:val="center"/>
              <w:rPr>
                <w:rFonts w:eastAsiaTheme="majorEastAsia"/>
                <w:bCs/>
                <w:color w:val="000000" w:themeColor="text1"/>
                <w:szCs w:val="20"/>
              </w:rPr>
            </w:pPr>
            <w:r>
              <w:rPr>
                <w:rFonts w:eastAsiaTheme="majorEastAsia"/>
                <w:bCs/>
                <w:color w:val="000000" w:themeColor="text1"/>
                <w:szCs w:val="20"/>
              </w:rPr>
              <w:t>-</w:t>
            </w:r>
          </w:p>
        </w:tc>
        <w:tc>
          <w:tcPr>
            <w:tcW w:w="1350" w:type="dxa"/>
            <w:vAlign w:val="center"/>
          </w:tcPr>
          <w:p w14:paraId="059F942B" w14:textId="074B222E" w:rsidR="00204951" w:rsidRPr="00CD3D9C" w:rsidRDefault="00204951" w:rsidP="00204951">
            <w:pPr>
              <w:jc w:val="center"/>
              <w:rPr>
                <w:rFonts w:eastAsiaTheme="majorEastAsia"/>
                <w:bCs/>
                <w:color w:val="000000" w:themeColor="text1"/>
                <w:szCs w:val="20"/>
              </w:rPr>
            </w:pPr>
            <w:r>
              <w:rPr>
                <w:rFonts w:eastAsiaTheme="majorEastAsia"/>
                <w:bCs/>
                <w:color w:val="000000" w:themeColor="text1"/>
                <w:szCs w:val="20"/>
              </w:rPr>
              <w:t>-</w:t>
            </w:r>
          </w:p>
        </w:tc>
        <w:tc>
          <w:tcPr>
            <w:tcW w:w="2050" w:type="dxa"/>
            <w:vAlign w:val="center"/>
          </w:tcPr>
          <w:p w14:paraId="0EB02CE4" w14:textId="4C1FF612" w:rsidR="00204951" w:rsidRDefault="00204951" w:rsidP="00204951">
            <w:pPr>
              <w:jc w:val="center"/>
              <w:rPr>
                <w:rFonts w:eastAsiaTheme="majorEastAsia"/>
                <w:bCs/>
                <w:color w:val="000000" w:themeColor="text1"/>
                <w:szCs w:val="20"/>
              </w:rPr>
            </w:pPr>
            <w:r>
              <w:rPr>
                <w:rFonts w:eastAsiaTheme="majorEastAsia"/>
                <w:bCs/>
                <w:color w:val="000000" w:themeColor="text1"/>
                <w:szCs w:val="20"/>
              </w:rPr>
              <w:t>1</w:t>
            </w:r>
          </w:p>
        </w:tc>
      </w:tr>
      <w:tr w:rsidR="00204951" w:rsidRPr="00CD3D9C" w14:paraId="01988031" w14:textId="17B6E3AC" w:rsidTr="00661AA7">
        <w:trPr>
          <w:trHeight w:val="849"/>
        </w:trPr>
        <w:tc>
          <w:tcPr>
            <w:tcW w:w="8337" w:type="dxa"/>
            <w:vAlign w:val="center"/>
          </w:tcPr>
          <w:p w14:paraId="35C0EE2C" w14:textId="6C6C4225" w:rsidR="00204951" w:rsidRPr="00CD3D9C" w:rsidRDefault="00204951" w:rsidP="00204951">
            <w:pPr>
              <w:rPr>
                <w:rFonts w:eastAsiaTheme="majorEastAsia"/>
                <w:bCs/>
                <w:color w:val="000000" w:themeColor="text1"/>
                <w:szCs w:val="20"/>
              </w:rPr>
            </w:pPr>
            <w:r w:rsidRPr="00CD3D9C">
              <w:rPr>
                <w:rFonts w:eastAsiaTheme="majorEastAsia"/>
                <w:bCs/>
                <w:color w:val="000000" w:themeColor="text1"/>
                <w:szCs w:val="20"/>
              </w:rPr>
              <w:t xml:space="preserve">4.3: # of </w:t>
            </w:r>
            <w:r w:rsidRPr="00CD3D9C">
              <w:rPr>
                <w:bCs/>
                <w:color w:val="000000" w:themeColor="text1"/>
                <w:szCs w:val="20"/>
              </w:rPr>
              <w:t>functioning partnership frameworks for integrated financing strategies to accelerate progress on SDGs made operational</w:t>
            </w:r>
          </w:p>
        </w:tc>
        <w:tc>
          <w:tcPr>
            <w:tcW w:w="1558" w:type="dxa"/>
            <w:vAlign w:val="center"/>
          </w:tcPr>
          <w:p w14:paraId="457DCF66" w14:textId="394BD1FF" w:rsidR="00204951" w:rsidRPr="00CD3D9C" w:rsidRDefault="00204951" w:rsidP="00204951">
            <w:pPr>
              <w:jc w:val="center"/>
              <w:rPr>
                <w:rFonts w:eastAsiaTheme="majorEastAsia"/>
                <w:bCs/>
                <w:color w:val="000000" w:themeColor="text1"/>
                <w:szCs w:val="20"/>
              </w:rPr>
            </w:pPr>
            <w:r>
              <w:rPr>
                <w:rFonts w:eastAsiaTheme="majorEastAsia"/>
                <w:bCs/>
                <w:color w:val="000000" w:themeColor="text1"/>
                <w:szCs w:val="20"/>
              </w:rPr>
              <w:t>-</w:t>
            </w:r>
          </w:p>
        </w:tc>
        <w:tc>
          <w:tcPr>
            <w:tcW w:w="1350" w:type="dxa"/>
            <w:vAlign w:val="center"/>
          </w:tcPr>
          <w:p w14:paraId="068A457D" w14:textId="6AA8E3CC" w:rsidR="00204951" w:rsidRPr="00CD3D9C" w:rsidRDefault="00204951" w:rsidP="00204951">
            <w:pPr>
              <w:jc w:val="center"/>
              <w:rPr>
                <w:rFonts w:eastAsiaTheme="majorEastAsia"/>
                <w:bCs/>
                <w:color w:val="000000" w:themeColor="text1"/>
                <w:szCs w:val="20"/>
              </w:rPr>
            </w:pPr>
            <w:r>
              <w:rPr>
                <w:rFonts w:eastAsiaTheme="majorEastAsia"/>
                <w:bCs/>
                <w:color w:val="000000" w:themeColor="text1"/>
                <w:szCs w:val="20"/>
              </w:rPr>
              <w:t>-</w:t>
            </w:r>
          </w:p>
        </w:tc>
        <w:tc>
          <w:tcPr>
            <w:tcW w:w="2050" w:type="dxa"/>
            <w:vAlign w:val="center"/>
          </w:tcPr>
          <w:p w14:paraId="5E4903D7" w14:textId="012FE417" w:rsidR="00204951" w:rsidRDefault="00204951" w:rsidP="00204951">
            <w:pPr>
              <w:jc w:val="center"/>
              <w:rPr>
                <w:rFonts w:eastAsiaTheme="majorEastAsia"/>
                <w:bCs/>
                <w:color w:val="000000" w:themeColor="text1"/>
                <w:szCs w:val="20"/>
              </w:rPr>
            </w:pPr>
            <w:r>
              <w:rPr>
                <w:rFonts w:eastAsiaTheme="majorEastAsia"/>
                <w:bCs/>
                <w:color w:val="000000" w:themeColor="text1"/>
                <w:szCs w:val="20"/>
              </w:rPr>
              <w:t>1</w:t>
            </w:r>
          </w:p>
        </w:tc>
      </w:tr>
    </w:tbl>
    <w:p w14:paraId="5BCAF3AF" w14:textId="13F35CE4" w:rsidR="00D953C0" w:rsidRPr="00CD3D9C" w:rsidRDefault="00D953C0" w:rsidP="001134F6">
      <w:pPr>
        <w:rPr>
          <w:rFonts w:eastAsia="Times New Roman"/>
          <w:color w:val="000000" w:themeColor="text1"/>
          <w:szCs w:val="20"/>
          <w:lang w:eastAsia="en-GB"/>
        </w:rPr>
      </w:pPr>
    </w:p>
    <w:p w14:paraId="7A3F41E9" w14:textId="77777777" w:rsidR="00D953C0" w:rsidRPr="00CD3D9C" w:rsidRDefault="00D953C0" w:rsidP="001134F6">
      <w:pPr>
        <w:rPr>
          <w:rFonts w:eastAsia="Times New Roman"/>
          <w:color w:val="000000" w:themeColor="text1"/>
          <w:szCs w:val="20"/>
          <w:lang w:eastAsia="en-GB"/>
        </w:rPr>
      </w:pPr>
    </w:p>
    <w:p w14:paraId="037335DD" w14:textId="4BBF72D2" w:rsidR="00A561CC" w:rsidRPr="00CD3D9C" w:rsidRDefault="004B54CB" w:rsidP="001134F6">
      <w:pPr>
        <w:rPr>
          <w:rFonts w:eastAsiaTheme="majorEastAsia"/>
          <w:b/>
          <w:color w:val="000000" w:themeColor="text1"/>
          <w:szCs w:val="20"/>
        </w:rPr>
      </w:pPr>
      <w:r w:rsidRPr="00CD3D9C">
        <w:rPr>
          <w:rFonts w:eastAsiaTheme="majorEastAsia"/>
          <w:b/>
          <w:color w:val="000000" w:themeColor="text1"/>
          <w:szCs w:val="20"/>
        </w:rPr>
        <w:t xml:space="preserve">Joint SDG Fund </w:t>
      </w:r>
      <w:r w:rsidR="00334D66" w:rsidRPr="00CD3D9C">
        <w:rPr>
          <w:rFonts w:eastAsiaTheme="majorEastAsia"/>
          <w:b/>
          <w:color w:val="000000" w:themeColor="text1"/>
          <w:szCs w:val="20"/>
        </w:rPr>
        <w:t>Operational Performance Indicators</w:t>
      </w:r>
    </w:p>
    <w:p w14:paraId="39767406" w14:textId="77777777" w:rsidR="00A561CC" w:rsidRPr="00CD3D9C" w:rsidRDefault="00A561CC" w:rsidP="001134F6">
      <w:pPr>
        <w:pStyle w:val="ListParagraph"/>
        <w:numPr>
          <w:ilvl w:val="0"/>
          <w:numId w:val="9"/>
        </w:numPr>
        <w:ind w:left="360"/>
        <w:rPr>
          <w:rFonts w:eastAsiaTheme="majorEastAsia"/>
          <w:bCs/>
          <w:color w:val="000000" w:themeColor="text1"/>
          <w:szCs w:val="20"/>
        </w:rPr>
      </w:pPr>
      <w:r w:rsidRPr="00CD3D9C">
        <w:rPr>
          <w:color w:val="000000" w:themeColor="text1"/>
          <w:szCs w:val="20"/>
        </w:rPr>
        <w:t>Level of coherence of UN in implementing programme country</w:t>
      </w:r>
      <w:r w:rsidRPr="00CD3D9C">
        <w:rPr>
          <w:rStyle w:val="FootnoteReference"/>
          <w:color w:val="000000" w:themeColor="text1"/>
          <w:szCs w:val="20"/>
        </w:rPr>
        <w:footnoteReference w:id="15"/>
      </w:r>
    </w:p>
    <w:p w14:paraId="20420C5C" w14:textId="5B3FF005" w:rsidR="00A561CC" w:rsidRPr="00CD3D9C" w:rsidRDefault="00A561CC" w:rsidP="001134F6">
      <w:pPr>
        <w:pStyle w:val="ListParagraph"/>
        <w:numPr>
          <w:ilvl w:val="0"/>
          <w:numId w:val="9"/>
        </w:numPr>
        <w:ind w:left="360"/>
        <w:rPr>
          <w:rFonts w:eastAsiaTheme="majorEastAsia"/>
          <w:bCs/>
          <w:color w:val="000000" w:themeColor="text1"/>
          <w:szCs w:val="20"/>
        </w:rPr>
      </w:pPr>
      <w:r w:rsidRPr="00CD3D9C">
        <w:rPr>
          <w:szCs w:val="20"/>
        </w:rPr>
        <w:t>Reduced transaction costs for the participating UN agencies in interaction with national/regional and local authorities and/or public entities compared to other joint programmes in the country in question</w:t>
      </w:r>
    </w:p>
    <w:p w14:paraId="7D424D21" w14:textId="77777777" w:rsidR="00531273" w:rsidRPr="00CD3D9C" w:rsidRDefault="00531273" w:rsidP="001134F6">
      <w:pPr>
        <w:pStyle w:val="ListParagraph"/>
        <w:ind w:left="360"/>
        <w:rPr>
          <w:rFonts w:eastAsiaTheme="majorEastAsia"/>
          <w:bCs/>
          <w:color w:val="000000" w:themeColor="text1"/>
          <w:szCs w:val="20"/>
        </w:rPr>
      </w:pPr>
    </w:p>
    <w:p w14:paraId="3EE7C7DC" w14:textId="06C98D67" w:rsidR="00777D3A" w:rsidRPr="00CD3D9C" w:rsidRDefault="00777D3A" w:rsidP="001134F6">
      <w:pPr>
        <w:pStyle w:val="ListParagraph"/>
        <w:numPr>
          <w:ilvl w:val="0"/>
          <w:numId w:val="9"/>
        </w:numPr>
        <w:ind w:left="360"/>
        <w:rPr>
          <w:rFonts w:eastAsiaTheme="majorEastAsia"/>
          <w:bCs/>
          <w:color w:val="000000" w:themeColor="text1"/>
          <w:szCs w:val="20"/>
        </w:rPr>
      </w:pPr>
      <w:r w:rsidRPr="00CD3D9C">
        <w:rPr>
          <w:szCs w:val="20"/>
        </w:rPr>
        <w:t>Annual % of financial delivery</w:t>
      </w:r>
    </w:p>
    <w:p w14:paraId="228D73A8" w14:textId="7BE9F581" w:rsidR="00777D3A" w:rsidRPr="00CD3D9C" w:rsidRDefault="00777D3A" w:rsidP="001134F6">
      <w:pPr>
        <w:pStyle w:val="ListParagraph"/>
        <w:numPr>
          <w:ilvl w:val="0"/>
          <w:numId w:val="9"/>
        </w:numPr>
        <w:ind w:left="360"/>
        <w:rPr>
          <w:rFonts w:eastAsiaTheme="majorEastAsia"/>
          <w:bCs/>
          <w:color w:val="000000" w:themeColor="text1"/>
          <w:szCs w:val="20"/>
        </w:rPr>
      </w:pPr>
      <w:r w:rsidRPr="00CD3D9C">
        <w:rPr>
          <w:rFonts w:eastAsiaTheme="majorEastAsia"/>
          <w:bCs/>
          <w:color w:val="000000" w:themeColor="text1"/>
          <w:szCs w:val="20"/>
        </w:rPr>
        <w:t xml:space="preserve">Joint </w:t>
      </w:r>
      <w:r w:rsidR="0066033C" w:rsidRPr="00CD3D9C">
        <w:rPr>
          <w:rFonts w:eastAsiaTheme="majorEastAsia"/>
          <w:bCs/>
          <w:color w:val="000000" w:themeColor="text1"/>
          <w:szCs w:val="20"/>
        </w:rPr>
        <w:t>p</w:t>
      </w:r>
      <w:r w:rsidRPr="00CD3D9C">
        <w:rPr>
          <w:rFonts w:eastAsiaTheme="majorEastAsia"/>
          <w:bCs/>
          <w:color w:val="000000" w:themeColor="text1"/>
          <w:szCs w:val="20"/>
        </w:rPr>
        <w:t xml:space="preserve">rogramme </w:t>
      </w:r>
      <w:r w:rsidRPr="00CD3D9C">
        <w:rPr>
          <w:color w:val="000000" w:themeColor="text1"/>
          <w:szCs w:val="20"/>
        </w:rPr>
        <w:t>operationally closed within original end date</w:t>
      </w:r>
    </w:p>
    <w:p w14:paraId="469B713C" w14:textId="68A49139" w:rsidR="00777D3A" w:rsidRPr="00CD3D9C" w:rsidRDefault="00777D3A" w:rsidP="001134F6">
      <w:pPr>
        <w:pStyle w:val="ListParagraph"/>
        <w:numPr>
          <w:ilvl w:val="0"/>
          <w:numId w:val="9"/>
        </w:numPr>
        <w:ind w:left="360"/>
        <w:rPr>
          <w:rFonts w:eastAsiaTheme="majorEastAsia"/>
          <w:bCs/>
          <w:color w:val="000000" w:themeColor="text1"/>
          <w:szCs w:val="20"/>
        </w:rPr>
      </w:pPr>
      <w:r w:rsidRPr="00CD3D9C">
        <w:rPr>
          <w:color w:val="000000" w:themeColor="text1"/>
          <w:szCs w:val="20"/>
        </w:rPr>
        <w:t xml:space="preserve">Joint </w:t>
      </w:r>
      <w:r w:rsidR="0066033C" w:rsidRPr="00CD3D9C">
        <w:rPr>
          <w:color w:val="000000" w:themeColor="text1"/>
          <w:szCs w:val="20"/>
        </w:rPr>
        <w:t>p</w:t>
      </w:r>
      <w:r w:rsidRPr="00CD3D9C">
        <w:rPr>
          <w:color w:val="000000" w:themeColor="text1"/>
          <w:szCs w:val="20"/>
        </w:rPr>
        <w:t>rogramme financially closed 18 months after their operational closure</w:t>
      </w:r>
    </w:p>
    <w:p w14:paraId="19DE78B6" w14:textId="77777777" w:rsidR="00531273" w:rsidRPr="00CD3D9C" w:rsidRDefault="00531273" w:rsidP="001134F6">
      <w:pPr>
        <w:pStyle w:val="ListParagraph"/>
        <w:ind w:left="360"/>
        <w:rPr>
          <w:rFonts w:eastAsiaTheme="majorEastAsia"/>
          <w:bCs/>
          <w:color w:val="000000" w:themeColor="text1"/>
          <w:szCs w:val="20"/>
        </w:rPr>
      </w:pPr>
    </w:p>
    <w:p w14:paraId="56844D56" w14:textId="713BB011" w:rsidR="00777D3A" w:rsidRPr="00CD3D9C" w:rsidRDefault="0066033C" w:rsidP="001134F6">
      <w:pPr>
        <w:pStyle w:val="ListParagraph"/>
        <w:numPr>
          <w:ilvl w:val="0"/>
          <w:numId w:val="9"/>
        </w:numPr>
        <w:ind w:left="360"/>
        <w:rPr>
          <w:rFonts w:eastAsiaTheme="majorEastAsia"/>
          <w:bCs/>
          <w:color w:val="000000" w:themeColor="text1"/>
          <w:szCs w:val="20"/>
        </w:rPr>
      </w:pPr>
      <w:r w:rsidRPr="00CD3D9C">
        <w:rPr>
          <w:color w:val="000000" w:themeColor="text1"/>
          <w:szCs w:val="20"/>
        </w:rPr>
        <w:t>Joint programme facilitated engagement with diverse stakeholders (e.g. parliamentarians, civil society, IFIs, bilateral/multilateral actor, private sector)</w:t>
      </w:r>
    </w:p>
    <w:p w14:paraId="3E628249" w14:textId="3265F6D0" w:rsidR="0066033C" w:rsidRPr="00CD3D9C" w:rsidRDefault="0066033C" w:rsidP="001134F6">
      <w:pPr>
        <w:pStyle w:val="ListParagraph"/>
        <w:numPr>
          <w:ilvl w:val="0"/>
          <w:numId w:val="9"/>
        </w:numPr>
        <w:ind w:left="360"/>
        <w:rPr>
          <w:rFonts w:eastAsiaTheme="majorEastAsia"/>
          <w:bCs/>
          <w:color w:val="000000" w:themeColor="text1"/>
          <w:szCs w:val="20"/>
        </w:rPr>
      </w:pPr>
      <w:r w:rsidRPr="00CD3D9C">
        <w:rPr>
          <w:rFonts w:eastAsiaTheme="majorEastAsia"/>
          <w:bCs/>
          <w:color w:val="000000" w:themeColor="text1"/>
          <w:szCs w:val="20"/>
        </w:rPr>
        <w:t xml:space="preserve">Joint programme </w:t>
      </w:r>
      <w:r w:rsidRPr="00CD3D9C">
        <w:rPr>
          <w:color w:val="000000" w:themeColor="text1"/>
          <w:szCs w:val="20"/>
        </w:rPr>
        <w:t>included addressing inequalities (QCPR) and the principle of “Leaving No One Behind”</w:t>
      </w:r>
    </w:p>
    <w:p w14:paraId="0CBA5A0A" w14:textId="010913C5" w:rsidR="0066033C" w:rsidRPr="00CD3D9C" w:rsidRDefault="0066033C" w:rsidP="001134F6">
      <w:pPr>
        <w:pStyle w:val="ListParagraph"/>
        <w:numPr>
          <w:ilvl w:val="0"/>
          <w:numId w:val="9"/>
        </w:numPr>
        <w:ind w:left="360"/>
        <w:rPr>
          <w:rFonts w:eastAsiaTheme="majorEastAsia"/>
          <w:bCs/>
          <w:color w:val="000000" w:themeColor="text1"/>
          <w:szCs w:val="20"/>
        </w:rPr>
      </w:pPr>
      <w:r w:rsidRPr="00CD3D9C">
        <w:rPr>
          <w:color w:val="000000" w:themeColor="text1"/>
          <w:szCs w:val="20"/>
        </w:rPr>
        <w:t>Joint programme featured gender results at the outcome level</w:t>
      </w:r>
    </w:p>
    <w:p w14:paraId="5448236A" w14:textId="095CBECA" w:rsidR="0066033C" w:rsidRPr="00CD3D9C" w:rsidRDefault="0066033C" w:rsidP="001134F6">
      <w:pPr>
        <w:pStyle w:val="ListParagraph"/>
        <w:numPr>
          <w:ilvl w:val="0"/>
          <w:numId w:val="9"/>
        </w:numPr>
        <w:ind w:left="360"/>
        <w:rPr>
          <w:rFonts w:eastAsiaTheme="majorEastAsia"/>
          <w:bCs/>
          <w:color w:val="000000" w:themeColor="text1"/>
          <w:szCs w:val="20"/>
        </w:rPr>
      </w:pPr>
      <w:r w:rsidRPr="00CD3D9C">
        <w:rPr>
          <w:color w:val="000000" w:themeColor="text1"/>
          <w:szCs w:val="20"/>
        </w:rPr>
        <w:t xml:space="preserve">Joint programme </w:t>
      </w:r>
      <w:r w:rsidRPr="00CD3D9C">
        <w:rPr>
          <w:rFonts w:eastAsia="Calibri"/>
          <w:color w:val="000000" w:themeColor="text1"/>
          <w:szCs w:val="20"/>
        </w:rPr>
        <w:t>undertook or d</w:t>
      </w:r>
      <w:r w:rsidR="0028609B">
        <w:rPr>
          <w:rFonts w:eastAsia="Calibri"/>
          <w:color w:val="000000" w:themeColor="text1"/>
          <w:szCs w:val="20"/>
        </w:rPr>
        <w:t>r</w:t>
      </w:r>
      <w:r w:rsidRPr="00CD3D9C">
        <w:rPr>
          <w:rFonts w:eastAsia="Calibri"/>
          <w:color w:val="000000" w:themeColor="text1"/>
          <w:szCs w:val="20"/>
        </w:rPr>
        <w:t>ew upon relevant human rights analysis, and have developed or implemented a strategy to address human rights issues</w:t>
      </w:r>
    </w:p>
    <w:p w14:paraId="7378072B" w14:textId="0E168F01" w:rsidR="0066033C" w:rsidRPr="00CD3D9C" w:rsidRDefault="0066033C" w:rsidP="001134F6">
      <w:pPr>
        <w:pStyle w:val="ListParagraph"/>
        <w:numPr>
          <w:ilvl w:val="0"/>
          <w:numId w:val="9"/>
        </w:numPr>
        <w:ind w:left="360"/>
        <w:rPr>
          <w:rFonts w:eastAsiaTheme="majorEastAsia"/>
          <w:bCs/>
          <w:color w:val="000000" w:themeColor="text1"/>
          <w:szCs w:val="20"/>
        </w:rPr>
      </w:pPr>
      <w:r w:rsidRPr="00CD3D9C">
        <w:rPr>
          <w:rFonts w:eastAsiaTheme="majorEastAsia"/>
          <w:bCs/>
          <w:color w:val="000000" w:themeColor="text1"/>
          <w:szCs w:val="20"/>
        </w:rPr>
        <w:t xml:space="preserve">Joint programme </w:t>
      </w:r>
      <w:r w:rsidRPr="00CD3D9C">
        <w:rPr>
          <w:szCs w:val="20"/>
        </w:rPr>
        <w:t>planned for and can demonstrate positive results/effects for youth</w:t>
      </w:r>
    </w:p>
    <w:p w14:paraId="1278DEC0" w14:textId="6A470004" w:rsidR="00754ABA" w:rsidRPr="00CD3D9C" w:rsidRDefault="00754ABA" w:rsidP="001134F6">
      <w:pPr>
        <w:pStyle w:val="ListParagraph"/>
        <w:numPr>
          <w:ilvl w:val="0"/>
          <w:numId w:val="9"/>
        </w:numPr>
        <w:ind w:left="360"/>
        <w:rPr>
          <w:rFonts w:eastAsiaTheme="majorEastAsia"/>
          <w:bCs/>
          <w:color w:val="000000" w:themeColor="text1"/>
          <w:szCs w:val="20"/>
        </w:rPr>
      </w:pPr>
      <w:r w:rsidRPr="00CD3D9C">
        <w:rPr>
          <w:szCs w:val="20"/>
        </w:rPr>
        <w:t xml:space="preserve">Joint programme </w:t>
      </w:r>
      <w:r w:rsidRPr="00CD3D9C">
        <w:rPr>
          <w:color w:val="000000" w:themeColor="text1"/>
          <w:szCs w:val="20"/>
        </w:rPr>
        <w:t>considered the needs of persons with disabilities</w:t>
      </w:r>
    </w:p>
    <w:p w14:paraId="5972484A" w14:textId="77777777" w:rsidR="00531273" w:rsidRPr="00CD3D9C" w:rsidRDefault="00531273" w:rsidP="001134F6">
      <w:pPr>
        <w:pStyle w:val="ListParagraph"/>
        <w:ind w:left="360"/>
        <w:rPr>
          <w:rFonts w:eastAsiaTheme="majorEastAsia"/>
          <w:bCs/>
          <w:color w:val="000000" w:themeColor="text1"/>
          <w:szCs w:val="20"/>
        </w:rPr>
      </w:pPr>
    </w:p>
    <w:p w14:paraId="40D8995B" w14:textId="7395EB56" w:rsidR="00754ABA" w:rsidRPr="00CD3D9C" w:rsidRDefault="00754ABA" w:rsidP="001134F6">
      <w:pPr>
        <w:pStyle w:val="ListParagraph"/>
        <w:numPr>
          <w:ilvl w:val="0"/>
          <w:numId w:val="9"/>
        </w:numPr>
        <w:ind w:left="360"/>
        <w:rPr>
          <w:rFonts w:eastAsiaTheme="majorEastAsia"/>
          <w:bCs/>
          <w:color w:val="000000" w:themeColor="text1"/>
          <w:szCs w:val="20"/>
        </w:rPr>
      </w:pPr>
      <w:r w:rsidRPr="00CD3D9C">
        <w:rPr>
          <w:szCs w:val="20"/>
        </w:rPr>
        <w:t xml:space="preserve">Joint programme </w:t>
      </w:r>
      <w:r w:rsidRPr="00CD3D9C">
        <w:rPr>
          <w:color w:val="000000" w:themeColor="text1"/>
          <w:szCs w:val="20"/>
        </w:rPr>
        <w:t>made use of risk analysis in programme planning</w:t>
      </w:r>
    </w:p>
    <w:p w14:paraId="0E608EE6" w14:textId="73C93E97" w:rsidR="00754ABA" w:rsidRPr="00CD3D9C" w:rsidRDefault="00754ABA" w:rsidP="001134F6">
      <w:pPr>
        <w:pStyle w:val="ListParagraph"/>
        <w:numPr>
          <w:ilvl w:val="0"/>
          <w:numId w:val="9"/>
        </w:numPr>
        <w:ind w:left="360"/>
        <w:rPr>
          <w:rFonts w:eastAsiaTheme="majorEastAsia"/>
          <w:bCs/>
          <w:color w:val="000000" w:themeColor="text1"/>
          <w:szCs w:val="20"/>
        </w:rPr>
      </w:pPr>
      <w:r w:rsidRPr="00CD3D9C">
        <w:rPr>
          <w:rFonts w:eastAsiaTheme="majorEastAsia"/>
          <w:bCs/>
          <w:color w:val="000000" w:themeColor="text1"/>
          <w:szCs w:val="20"/>
        </w:rPr>
        <w:t xml:space="preserve">Joint programme </w:t>
      </w:r>
      <w:r w:rsidRPr="00CD3D9C">
        <w:rPr>
          <w:color w:val="000000" w:themeColor="text1"/>
          <w:szCs w:val="20"/>
        </w:rPr>
        <w:t>conducted do-no-harm / due diligence and were designed to take into consideration opportunities in the areas of the environment and climate change</w:t>
      </w:r>
    </w:p>
    <w:p w14:paraId="5E0B2D29" w14:textId="546AFE8C" w:rsidR="0066033C" w:rsidRDefault="0066033C" w:rsidP="001134F6">
      <w:pPr>
        <w:rPr>
          <w:rFonts w:eastAsia="Times New Roman"/>
          <w:color w:val="000000" w:themeColor="text1"/>
          <w:szCs w:val="20"/>
          <w:lang w:eastAsia="en-GB"/>
        </w:rPr>
      </w:pPr>
    </w:p>
    <w:p w14:paraId="4237C4CC" w14:textId="77777777" w:rsidR="005B3FC8" w:rsidRPr="001E7D91" w:rsidRDefault="005B3FC8" w:rsidP="005B3FC8">
      <w:pPr>
        <w:rPr>
          <w:rFonts w:eastAsia="Times New Roman"/>
          <w:color w:val="0070C0"/>
          <w:szCs w:val="20"/>
          <w:lang w:eastAsia="en-GB"/>
        </w:rPr>
      </w:pPr>
      <w:r w:rsidRPr="001E7D91">
        <w:rPr>
          <w:rFonts w:eastAsia="Times New Roman"/>
          <w:b/>
          <w:bCs/>
          <w:color w:val="0070C0"/>
          <w:szCs w:val="20"/>
          <w:u w:val="single"/>
          <w:lang w:eastAsia="en-GB"/>
        </w:rPr>
        <w:t>2.2. Joint programme Results framework</w:t>
      </w:r>
    </w:p>
    <w:p w14:paraId="27B41288" w14:textId="54974162" w:rsidR="005B3FC8" w:rsidRDefault="005B3FC8" w:rsidP="001134F6">
      <w:pPr>
        <w:rPr>
          <w:rFonts w:eastAsia="Times New Roman"/>
          <w:color w:val="000000" w:themeColor="text1"/>
          <w:szCs w:val="20"/>
          <w:lang w:eastAsia="en-GB"/>
        </w:rPr>
      </w:pPr>
    </w:p>
    <w:tbl>
      <w:tblPr>
        <w:tblStyle w:val="TableGrid"/>
        <w:tblW w:w="13225" w:type="dxa"/>
        <w:jc w:val="center"/>
        <w:tblLook w:val="04A0" w:firstRow="1" w:lastRow="0" w:firstColumn="1" w:lastColumn="0" w:noHBand="0" w:noVBand="1"/>
      </w:tblPr>
      <w:tblGrid>
        <w:gridCol w:w="2921"/>
        <w:gridCol w:w="1935"/>
        <w:gridCol w:w="2055"/>
        <w:gridCol w:w="2235"/>
        <w:gridCol w:w="2113"/>
        <w:gridCol w:w="1966"/>
      </w:tblGrid>
      <w:tr w:rsidR="002C71FC" w:rsidRPr="00CB33F3" w14:paraId="2CEB27FF" w14:textId="77777777" w:rsidTr="006C2A43">
        <w:trPr>
          <w:jc w:val="center"/>
        </w:trPr>
        <w:tc>
          <w:tcPr>
            <w:tcW w:w="2921" w:type="dxa"/>
            <w:shd w:val="clear" w:color="auto" w:fill="BDD6EE" w:themeFill="accent5" w:themeFillTint="66"/>
            <w:vAlign w:val="center"/>
          </w:tcPr>
          <w:p w14:paraId="2363BE7C" w14:textId="53FAF624" w:rsidR="002C71FC" w:rsidRPr="00CB33F3" w:rsidRDefault="002C71FC" w:rsidP="002C71FC">
            <w:pPr>
              <w:jc w:val="center"/>
              <w:rPr>
                <w:rFonts w:eastAsia="Times New Roman"/>
                <w:b/>
                <w:bCs/>
                <w:color w:val="000000" w:themeColor="text1"/>
                <w:szCs w:val="20"/>
                <w:lang w:eastAsia="en-GB"/>
              </w:rPr>
            </w:pPr>
            <w:r w:rsidRPr="00CB33F3">
              <w:rPr>
                <w:rFonts w:eastAsia="Times New Roman"/>
                <w:b/>
                <w:bCs/>
                <w:color w:val="000000" w:themeColor="text1"/>
                <w:szCs w:val="20"/>
                <w:lang w:eastAsia="en-GB"/>
              </w:rPr>
              <w:lastRenderedPageBreak/>
              <w:t>Result / Indicators</w:t>
            </w:r>
          </w:p>
        </w:tc>
        <w:tc>
          <w:tcPr>
            <w:tcW w:w="1935" w:type="dxa"/>
            <w:shd w:val="clear" w:color="auto" w:fill="BDD6EE" w:themeFill="accent5" w:themeFillTint="66"/>
            <w:vAlign w:val="center"/>
          </w:tcPr>
          <w:p w14:paraId="448F71D0" w14:textId="6B4B4B66" w:rsidR="002C71FC" w:rsidRPr="00CB33F3" w:rsidRDefault="002C71FC" w:rsidP="002C71FC">
            <w:pPr>
              <w:jc w:val="center"/>
              <w:rPr>
                <w:rFonts w:eastAsia="Times New Roman"/>
                <w:b/>
                <w:bCs/>
                <w:color w:val="000000" w:themeColor="text1"/>
                <w:szCs w:val="20"/>
                <w:lang w:eastAsia="en-GB"/>
              </w:rPr>
            </w:pPr>
            <w:r w:rsidRPr="00CB33F3">
              <w:rPr>
                <w:rFonts w:eastAsia="Times New Roman"/>
                <w:b/>
                <w:bCs/>
                <w:color w:val="000000" w:themeColor="text1"/>
                <w:szCs w:val="20"/>
                <w:lang w:eastAsia="en-GB"/>
              </w:rPr>
              <w:t>Baseline</w:t>
            </w:r>
          </w:p>
        </w:tc>
        <w:tc>
          <w:tcPr>
            <w:tcW w:w="2055" w:type="dxa"/>
            <w:shd w:val="clear" w:color="auto" w:fill="BDD6EE" w:themeFill="accent5" w:themeFillTint="66"/>
            <w:vAlign w:val="center"/>
          </w:tcPr>
          <w:p w14:paraId="4E0E1F70" w14:textId="71F7C417" w:rsidR="002C71FC" w:rsidRPr="00CB33F3" w:rsidRDefault="002C71FC" w:rsidP="002C71FC">
            <w:pPr>
              <w:jc w:val="center"/>
              <w:rPr>
                <w:rFonts w:eastAsia="Times New Roman"/>
                <w:b/>
                <w:bCs/>
                <w:color w:val="000000" w:themeColor="text1"/>
                <w:szCs w:val="20"/>
                <w:lang w:eastAsia="en-GB"/>
              </w:rPr>
            </w:pPr>
            <w:r w:rsidRPr="00CB33F3">
              <w:rPr>
                <w:rFonts w:eastAsia="Times New Roman"/>
                <w:b/>
                <w:bCs/>
                <w:color w:val="000000" w:themeColor="text1"/>
                <w:szCs w:val="20"/>
                <w:lang w:eastAsia="en-GB"/>
              </w:rPr>
              <w:t>202</w:t>
            </w:r>
            <w:r w:rsidR="004D00ED">
              <w:rPr>
                <w:rFonts w:eastAsia="Times New Roman"/>
                <w:b/>
                <w:bCs/>
                <w:color w:val="000000" w:themeColor="text1"/>
                <w:szCs w:val="20"/>
                <w:lang w:eastAsia="en-GB"/>
              </w:rPr>
              <w:t>1</w:t>
            </w:r>
            <w:r w:rsidRPr="00CB33F3">
              <w:rPr>
                <w:rFonts w:eastAsia="Times New Roman"/>
                <w:b/>
                <w:bCs/>
                <w:color w:val="000000" w:themeColor="text1"/>
                <w:szCs w:val="20"/>
                <w:lang w:eastAsia="en-GB"/>
              </w:rPr>
              <w:t xml:space="preserve"> Target</w:t>
            </w:r>
          </w:p>
        </w:tc>
        <w:tc>
          <w:tcPr>
            <w:tcW w:w="2235" w:type="dxa"/>
            <w:shd w:val="clear" w:color="auto" w:fill="BDD6EE" w:themeFill="accent5" w:themeFillTint="66"/>
            <w:vAlign w:val="center"/>
          </w:tcPr>
          <w:p w14:paraId="0ED8F497" w14:textId="4B001450" w:rsidR="002C71FC" w:rsidRPr="00CB33F3" w:rsidRDefault="002C71FC" w:rsidP="002C71FC">
            <w:pPr>
              <w:jc w:val="center"/>
              <w:rPr>
                <w:rFonts w:eastAsia="Times New Roman"/>
                <w:b/>
                <w:bCs/>
                <w:color w:val="000000" w:themeColor="text1"/>
                <w:szCs w:val="20"/>
                <w:lang w:eastAsia="en-GB"/>
              </w:rPr>
            </w:pPr>
            <w:r w:rsidRPr="00CB33F3">
              <w:rPr>
                <w:rFonts w:eastAsia="Times New Roman"/>
                <w:b/>
                <w:bCs/>
                <w:color w:val="000000" w:themeColor="text1"/>
                <w:szCs w:val="20"/>
                <w:lang w:eastAsia="en-GB"/>
              </w:rPr>
              <w:t>202</w:t>
            </w:r>
            <w:r w:rsidR="004D00ED">
              <w:rPr>
                <w:rFonts w:eastAsia="Times New Roman"/>
                <w:b/>
                <w:bCs/>
                <w:color w:val="000000" w:themeColor="text1"/>
                <w:szCs w:val="20"/>
                <w:lang w:eastAsia="en-GB"/>
              </w:rPr>
              <w:t>2</w:t>
            </w:r>
            <w:r w:rsidRPr="00CB33F3">
              <w:rPr>
                <w:rFonts w:eastAsia="Times New Roman"/>
                <w:b/>
                <w:bCs/>
                <w:color w:val="000000" w:themeColor="text1"/>
                <w:szCs w:val="20"/>
                <w:lang w:eastAsia="en-GB"/>
              </w:rPr>
              <w:t xml:space="preserve"> Target </w:t>
            </w:r>
          </w:p>
        </w:tc>
        <w:tc>
          <w:tcPr>
            <w:tcW w:w="2113" w:type="dxa"/>
            <w:shd w:val="clear" w:color="auto" w:fill="BDD6EE" w:themeFill="accent5" w:themeFillTint="66"/>
            <w:vAlign w:val="center"/>
          </w:tcPr>
          <w:p w14:paraId="342C03B9" w14:textId="2FA3D514" w:rsidR="002C71FC" w:rsidRPr="00CB33F3" w:rsidRDefault="002C71FC" w:rsidP="002C71FC">
            <w:pPr>
              <w:jc w:val="center"/>
              <w:rPr>
                <w:rFonts w:eastAsia="Times New Roman"/>
                <w:b/>
                <w:bCs/>
                <w:color w:val="000000" w:themeColor="text1"/>
                <w:szCs w:val="20"/>
                <w:lang w:eastAsia="en-GB"/>
              </w:rPr>
            </w:pPr>
            <w:r w:rsidRPr="00CB33F3">
              <w:rPr>
                <w:rFonts w:eastAsia="Times New Roman"/>
                <w:b/>
                <w:bCs/>
                <w:color w:val="000000" w:themeColor="text1"/>
                <w:szCs w:val="20"/>
                <w:lang w:eastAsia="en-GB"/>
              </w:rPr>
              <w:t>Means of Verification</w:t>
            </w:r>
          </w:p>
        </w:tc>
        <w:tc>
          <w:tcPr>
            <w:tcW w:w="1966" w:type="dxa"/>
            <w:shd w:val="clear" w:color="auto" w:fill="BDD6EE" w:themeFill="accent5" w:themeFillTint="66"/>
            <w:vAlign w:val="center"/>
          </w:tcPr>
          <w:p w14:paraId="179792E5" w14:textId="0D6B17D5" w:rsidR="002C71FC" w:rsidRPr="00CB33F3" w:rsidRDefault="002C71FC" w:rsidP="002C71FC">
            <w:pPr>
              <w:jc w:val="center"/>
              <w:rPr>
                <w:rFonts w:eastAsia="Times New Roman"/>
                <w:b/>
                <w:bCs/>
                <w:color w:val="000000" w:themeColor="text1"/>
                <w:szCs w:val="20"/>
                <w:lang w:eastAsia="en-GB"/>
              </w:rPr>
            </w:pPr>
            <w:r w:rsidRPr="00CB33F3">
              <w:rPr>
                <w:rFonts w:eastAsia="Times New Roman"/>
                <w:b/>
                <w:bCs/>
                <w:color w:val="000000" w:themeColor="text1"/>
                <w:szCs w:val="20"/>
                <w:lang w:eastAsia="en-GB"/>
              </w:rPr>
              <w:t>Responsible partner</w:t>
            </w:r>
          </w:p>
        </w:tc>
      </w:tr>
      <w:tr w:rsidR="005B3FC8" w:rsidRPr="00CB33F3" w14:paraId="4FED0179" w14:textId="77777777" w:rsidTr="002C71FC">
        <w:trPr>
          <w:jc w:val="center"/>
        </w:trPr>
        <w:tc>
          <w:tcPr>
            <w:tcW w:w="13225" w:type="dxa"/>
            <w:gridSpan w:val="6"/>
            <w:shd w:val="clear" w:color="auto" w:fill="FFF2CC" w:themeFill="accent4" w:themeFillTint="33"/>
            <w:vAlign w:val="center"/>
          </w:tcPr>
          <w:p w14:paraId="546A1C14" w14:textId="5C3BDF37" w:rsidR="005B3FC8" w:rsidRPr="00CB33F3" w:rsidRDefault="005B3FC8" w:rsidP="006C2A43">
            <w:pPr>
              <w:rPr>
                <w:rFonts w:eastAsia="Times New Roman"/>
                <w:b/>
                <w:color w:val="000000" w:themeColor="text1"/>
                <w:szCs w:val="20"/>
                <w:lang w:eastAsia="en-GB"/>
              </w:rPr>
            </w:pPr>
            <w:r w:rsidRPr="00CB33F3">
              <w:rPr>
                <w:rFonts w:eastAsia="Times New Roman"/>
                <w:b/>
                <w:color w:val="000000" w:themeColor="text1"/>
                <w:szCs w:val="20"/>
                <w:lang w:eastAsia="en-GB"/>
              </w:rPr>
              <w:t xml:space="preserve">Outcome 1: </w:t>
            </w:r>
            <w:r w:rsidR="002B68BC" w:rsidRPr="00F977D6">
              <w:rPr>
                <w:b/>
                <w:bCs/>
                <w:szCs w:val="20"/>
              </w:rPr>
              <w:t>Financing needs to achieve SDGs in the aftermath of the COVID-19 crisis identified including long-term investments required for climate action, equitable and gender responsive social service provision.</w:t>
            </w:r>
          </w:p>
          <w:p w14:paraId="05C41F2F" w14:textId="77777777" w:rsidR="005B3FC8" w:rsidRPr="00CB33F3" w:rsidRDefault="005B3FC8" w:rsidP="006C2A43">
            <w:pPr>
              <w:rPr>
                <w:rFonts w:eastAsia="Times New Roman"/>
                <w:b/>
                <w:color w:val="000000" w:themeColor="text1"/>
                <w:szCs w:val="20"/>
                <w:lang w:eastAsia="en-GB"/>
              </w:rPr>
            </w:pPr>
          </w:p>
        </w:tc>
      </w:tr>
      <w:tr w:rsidR="005B3FC8" w:rsidRPr="00CB33F3" w14:paraId="36AE3073" w14:textId="77777777" w:rsidTr="006C2A43">
        <w:trPr>
          <w:jc w:val="center"/>
        </w:trPr>
        <w:tc>
          <w:tcPr>
            <w:tcW w:w="2921" w:type="dxa"/>
            <w:shd w:val="clear" w:color="auto" w:fill="auto"/>
            <w:vAlign w:val="center"/>
          </w:tcPr>
          <w:p w14:paraId="525E7006" w14:textId="77777777" w:rsidR="005B3FC8" w:rsidRPr="00CB33F3" w:rsidRDefault="005B3FC8" w:rsidP="006C2A43">
            <w:pPr>
              <w:rPr>
                <w:rFonts w:eastAsia="Times New Roman"/>
                <w:color w:val="000000" w:themeColor="text1"/>
                <w:szCs w:val="20"/>
                <w:lang w:eastAsia="en-GB"/>
              </w:rPr>
            </w:pPr>
            <w:r w:rsidRPr="00CB33F3">
              <w:rPr>
                <w:rFonts w:eastAsia="Times New Roman"/>
                <w:b/>
                <w:color w:val="000000" w:themeColor="text1"/>
                <w:szCs w:val="20"/>
                <w:lang w:eastAsia="en-GB"/>
              </w:rPr>
              <w:t>Outcome 1 indicator 1:</w:t>
            </w:r>
            <w:r w:rsidRPr="00CB33F3">
              <w:rPr>
                <w:rFonts w:eastAsia="Times New Roman"/>
                <w:color w:val="000000" w:themeColor="text1"/>
                <w:szCs w:val="20"/>
                <w:lang w:eastAsia="en-GB"/>
              </w:rPr>
              <w:t xml:space="preserve"> Financing needs assessment is part of regular policy development and implementation cycles</w:t>
            </w:r>
          </w:p>
        </w:tc>
        <w:tc>
          <w:tcPr>
            <w:tcW w:w="1935" w:type="dxa"/>
            <w:shd w:val="clear" w:color="auto" w:fill="auto"/>
            <w:vAlign w:val="center"/>
          </w:tcPr>
          <w:p w14:paraId="0BFC73B2"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No understanding of financing needs to meet national development priorities</w:t>
            </w:r>
          </w:p>
        </w:tc>
        <w:tc>
          <w:tcPr>
            <w:tcW w:w="2055" w:type="dxa"/>
            <w:shd w:val="clear" w:color="auto" w:fill="auto"/>
            <w:vAlign w:val="center"/>
          </w:tcPr>
          <w:p w14:paraId="78B7D42B" w14:textId="77777777" w:rsidR="00215CCA" w:rsidRDefault="00215CCA" w:rsidP="00215CCA">
            <w:pPr>
              <w:jc w:val="center"/>
              <w:rPr>
                <w:rFonts w:eastAsia="Times New Roman"/>
                <w:color w:val="000000" w:themeColor="text1"/>
                <w:szCs w:val="20"/>
                <w:lang w:eastAsia="en-GB"/>
              </w:rPr>
            </w:pPr>
            <w:r>
              <w:rPr>
                <w:rFonts w:eastAsia="Times New Roman"/>
                <w:color w:val="000000" w:themeColor="text1"/>
                <w:szCs w:val="20"/>
                <w:lang w:eastAsia="en-GB"/>
              </w:rPr>
              <w:t>Rapid stock taking of SDG financing conducted</w:t>
            </w:r>
          </w:p>
          <w:p w14:paraId="3F535BE6" w14:textId="77777777" w:rsidR="00215CCA" w:rsidRDefault="00215CCA" w:rsidP="00215CCA">
            <w:pPr>
              <w:jc w:val="center"/>
              <w:rPr>
                <w:rFonts w:eastAsia="Times New Roman"/>
                <w:color w:val="000000" w:themeColor="text1"/>
                <w:szCs w:val="20"/>
                <w:lang w:eastAsia="en-GB"/>
              </w:rPr>
            </w:pPr>
          </w:p>
          <w:p w14:paraId="6EEF1B26" w14:textId="6E432C63" w:rsidR="005B3FC8" w:rsidRPr="00CB33F3" w:rsidRDefault="00215CCA" w:rsidP="00215CCA">
            <w:pPr>
              <w:jc w:val="center"/>
              <w:rPr>
                <w:rFonts w:eastAsia="Times New Roman"/>
                <w:color w:val="000000" w:themeColor="text1"/>
                <w:szCs w:val="20"/>
                <w:lang w:eastAsia="en-GB"/>
              </w:rPr>
            </w:pPr>
            <w:r>
              <w:rPr>
                <w:rFonts w:eastAsia="Times New Roman"/>
                <w:color w:val="000000" w:themeColor="text1"/>
                <w:szCs w:val="20"/>
                <w:lang w:eastAsia="en-GB"/>
              </w:rPr>
              <w:t>An Overall estimate of the climate financing needs and gaps identified</w:t>
            </w:r>
            <w:r w:rsidRPr="00CB33F3">
              <w:rPr>
                <w:rFonts w:eastAsia="Times New Roman"/>
                <w:color w:val="000000" w:themeColor="text1"/>
                <w:szCs w:val="20"/>
                <w:lang w:eastAsia="en-GB"/>
              </w:rPr>
              <w:t xml:space="preserve"> </w:t>
            </w:r>
          </w:p>
        </w:tc>
        <w:tc>
          <w:tcPr>
            <w:tcW w:w="2235" w:type="dxa"/>
            <w:shd w:val="clear" w:color="auto" w:fill="auto"/>
            <w:vAlign w:val="center"/>
          </w:tcPr>
          <w:p w14:paraId="40E66474" w14:textId="220AD5C4" w:rsidR="005B3FC8" w:rsidRDefault="005B3FC8" w:rsidP="00215CCA">
            <w:pPr>
              <w:jc w:val="center"/>
              <w:rPr>
                <w:rFonts w:eastAsia="Times New Roman"/>
                <w:color w:val="000000" w:themeColor="text1"/>
                <w:szCs w:val="20"/>
                <w:lang w:eastAsia="en-GB"/>
              </w:rPr>
            </w:pPr>
            <w:r w:rsidRPr="00CB33F3">
              <w:rPr>
                <w:rFonts w:eastAsia="Times New Roman"/>
                <w:color w:val="000000" w:themeColor="text1"/>
                <w:szCs w:val="20"/>
                <w:lang w:eastAsia="en-GB"/>
              </w:rPr>
              <w:t xml:space="preserve"> </w:t>
            </w:r>
          </w:p>
          <w:p w14:paraId="65F17671" w14:textId="20E23A46" w:rsidR="00215CCA" w:rsidRPr="00CB33F3" w:rsidRDefault="006D0ECA" w:rsidP="00215CCA">
            <w:pPr>
              <w:jc w:val="center"/>
              <w:rPr>
                <w:rFonts w:eastAsia="Times New Roman"/>
                <w:color w:val="000000" w:themeColor="text1"/>
                <w:szCs w:val="20"/>
                <w:lang w:eastAsia="en-GB"/>
              </w:rPr>
            </w:pPr>
            <w:r>
              <w:rPr>
                <w:rFonts w:eastAsia="Times New Roman"/>
                <w:color w:val="000000" w:themeColor="text1"/>
                <w:szCs w:val="20"/>
                <w:lang w:eastAsia="en-GB"/>
              </w:rPr>
              <w:t>A roadmap to operationalize the INFF and a Financing Strategy developed</w:t>
            </w:r>
          </w:p>
        </w:tc>
        <w:tc>
          <w:tcPr>
            <w:tcW w:w="2113" w:type="dxa"/>
            <w:shd w:val="clear" w:color="auto" w:fill="auto"/>
            <w:vAlign w:val="center"/>
          </w:tcPr>
          <w:p w14:paraId="49D89024" w14:textId="77777777" w:rsidR="005C3D27" w:rsidRDefault="005C3D27" w:rsidP="005C3D27">
            <w:pPr>
              <w:rPr>
                <w:rFonts w:eastAsia="Times New Roman"/>
                <w:color w:val="000000" w:themeColor="text1"/>
                <w:lang w:eastAsia="en-GB"/>
              </w:rPr>
            </w:pPr>
            <w:r>
              <w:rPr>
                <w:rFonts w:eastAsia="Times New Roman"/>
                <w:color w:val="000000" w:themeColor="text1"/>
                <w:szCs w:val="20"/>
                <w:lang w:eastAsia="en-GB"/>
              </w:rPr>
              <w:t>D</w:t>
            </w:r>
            <w:r>
              <w:rPr>
                <w:rFonts w:eastAsia="Times New Roman"/>
                <w:color w:val="000000" w:themeColor="text1"/>
                <w:lang w:eastAsia="en-GB"/>
              </w:rPr>
              <w:t>evelopment Finance Assessment report</w:t>
            </w:r>
          </w:p>
          <w:p w14:paraId="141E93F1" w14:textId="77777777" w:rsidR="005C3D27" w:rsidRDefault="005C3D27" w:rsidP="005C3D27">
            <w:pPr>
              <w:rPr>
                <w:rFonts w:eastAsia="Times New Roman"/>
                <w:color w:val="000000" w:themeColor="text1"/>
                <w:szCs w:val="20"/>
                <w:lang w:eastAsia="en-GB"/>
              </w:rPr>
            </w:pPr>
          </w:p>
          <w:p w14:paraId="741E4D61" w14:textId="77777777" w:rsidR="005C3D27" w:rsidRDefault="005C3D27" w:rsidP="005C3D27">
            <w:pPr>
              <w:rPr>
                <w:rFonts w:eastAsia="Times New Roman"/>
                <w:color w:val="000000" w:themeColor="text1"/>
                <w:szCs w:val="20"/>
                <w:lang w:eastAsia="en-GB"/>
              </w:rPr>
            </w:pPr>
            <w:r>
              <w:rPr>
                <w:rFonts w:eastAsia="Times New Roman"/>
                <w:color w:val="000000" w:themeColor="text1"/>
                <w:szCs w:val="20"/>
                <w:lang w:eastAsia="en-GB"/>
              </w:rPr>
              <w:t>INFF and Financing strategy</w:t>
            </w:r>
          </w:p>
          <w:p w14:paraId="3A6CBE9A" w14:textId="701256C0" w:rsidR="005B3FC8" w:rsidRPr="00CB33F3" w:rsidRDefault="005B3FC8" w:rsidP="006C2A43">
            <w:pPr>
              <w:rPr>
                <w:rFonts w:eastAsia="Times New Roman"/>
                <w:color w:val="000000" w:themeColor="text1"/>
                <w:szCs w:val="20"/>
                <w:lang w:eastAsia="en-GB"/>
              </w:rPr>
            </w:pPr>
          </w:p>
        </w:tc>
        <w:tc>
          <w:tcPr>
            <w:tcW w:w="1966" w:type="dxa"/>
            <w:shd w:val="clear" w:color="auto" w:fill="auto"/>
            <w:vAlign w:val="center"/>
          </w:tcPr>
          <w:p w14:paraId="78D8F7FA" w14:textId="77777777" w:rsidR="005B3FC8" w:rsidRPr="00CB33F3" w:rsidRDefault="005B3FC8" w:rsidP="006C2A43">
            <w:pPr>
              <w:rPr>
                <w:rFonts w:eastAsia="Times New Roman"/>
                <w:color w:val="000000" w:themeColor="text1"/>
                <w:szCs w:val="20"/>
                <w:lang w:eastAsia="en-GB"/>
              </w:rPr>
            </w:pPr>
            <w:r w:rsidRPr="00CB33F3">
              <w:rPr>
                <w:rFonts w:eastAsia="Times New Roman"/>
                <w:color w:val="000000" w:themeColor="text1"/>
                <w:szCs w:val="20"/>
                <w:lang w:eastAsia="en-GB"/>
              </w:rPr>
              <w:t>Representing bodies of the INFF oversight committee, other line ministries, UNDP, UNICEF, UNFPA and WHO.</w:t>
            </w:r>
          </w:p>
        </w:tc>
      </w:tr>
      <w:tr w:rsidR="005B3FC8" w:rsidRPr="00CB33F3" w14:paraId="4441519F" w14:textId="77777777" w:rsidTr="00AB261B">
        <w:trPr>
          <w:jc w:val="center"/>
        </w:trPr>
        <w:tc>
          <w:tcPr>
            <w:tcW w:w="13225" w:type="dxa"/>
            <w:gridSpan w:val="6"/>
            <w:shd w:val="clear" w:color="auto" w:fill="EDEDED" w:themeFill="accent3" w:themeFillTint="33"/>
            <w:vAlign w:val="center"/>
          </w:tcPr>
          <w:p w14:paraId="538584B7" w14:textId="77777777" w:rsidR="005B3FC8" w:rsidRPr="00CB33F3" w:rsidRDefault="005B3FC8" w:rsidP="006C2A43">
            <w:pPr>
              <w:rPr>
                <w:rFonts w:eastAsia="Times New Roman"/>
                <w:b/>
                <w:color w:val="000000" w:themeColor="text1"/>
                <w:szCs w:val="20"/>
                <w:lang w:eastAsia="en-GB"/>
              </w:rPr>
            </w:pPr>
            <w:r w:rsidRPr="00CB33F3">
              <w:rPr>
                <w:rFonts w:eastAsia="Times New Roman"/>
                <w:b/>
                <w:color w:val="000000" w:themeColor="text1"/>
                <w:szCs w:val="20"/>
                <w:lang w:eastAsia="en-GB"/>
              </w:rPr>
              <w:t>Output 1.1: Overall financing gap for achieving the SDGs estimated based on forecasts and costing taking into account the impact of the ongoing Covid-19 pandemic</w:t>
            </w:r>
          </w:p>
        </w:tc>
      </w:tr>
      <w:tr w:rsidR="005B3FC8" w:rsidRPr="00CB33F3" w14:paraId="0F545739" w14:textId="77777777" w:rsidTr="006C2A43">
        <w:trPr>
          <w:jc w:val="center"/>
        </w:trPr>
        <w:tc>
          <w:tcPr>
            <w:tcW w:w="2921" w:type="dxa"/>
            <w:shd w:val="clear" w:color="auto" w:fill="auto"/>
            <w:vAlign w:val="center"/>
          </w:tcPr>
          <w:p w14:paraId="18E5253E" w14:textId="1F8401E5" w:rsidR="005B3FC8" w:rsidRPr="00CB33F3" w:rsidRDefault="005B3FC8" w:rsidP="006C2A43">
            <w:pPr>
              <w:rPr>
                <w:rFonts w:eastAsia="Times New Roman"/>
                <w:color w:val="000000" w:themeColor="text1"/>
                <w:szCs w:val="20"/>
                <w:lang w:eastAsia="en-GB"/>
              </w:rPr>
            </w:pPr>
            <w:r w:rsidRPr="00CB33F3">
              <w:rPr>
                <w:rFonts w:eastAsia="Times New Roman"/>
                <w:b/>
                <w:color w:val="000000" w:themeColor="text1"/>
                <w:szCs w:val="20"/>
                <w:lang w:eastAsia="en-GB"/>
              </w:rPr>
              <w:t>Output 1.1 indicator 1:</w:t>
            </w:r>
            <w:r w:rsidRPr="00CB33F3">
              <w:rPr>
                <w:rFonts w:eastAsia="Times New Roman"/>
                <w:color w:val="000000" w:themeColor="text1"/>
                <w:szCs w:val="20"/>
                <w:lang w:eastAsia="en-GB"/>
              </w:rPr>
              <w:t xml:space="preserve"> # of financing needs assessment methodologies / tools adapted to focus on forecast / estimate of COVID-19 epidemic impact on the economy and vulnerable population groups </w:t>
            </w:r>
            <w:r w:rsidR="00C07AEC">
              <w:rPr>
                <w:rFonts w:eastAsia="Times New Roman"/>
                <w:color w:val="000000" w:themeColor="text1"/>
                <w:szCs w:val="20"/>
                <w:lang w:eastAsia="en-GB"/>
              </w:rPr>
              <w:t>disaggregated for men, women and age groups</w:t>
            </w:r>
          </w:p>
        </w:tc>
        <w:tc>
          <w:tcPr>
            <w:tcW w:w="1935" w:type="dxa"/>
            <w:shd w:val="clear" w:color="auto" w:fill="auto"/>
            <w:vAlign w:val="center"/>
          </w:tcPr>
          <w:p w14:paraId="29D28541"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0</w:t>
            </w:r>
          </w:p>
        </w:tc>
        <w:tc>
          <w:tcPr>
            <w:tcW w:w="2055" w:type="dxa"/>
            <w:shd w:val="clear" w:color="auto" w:fill="auto"/>
            <w:vAlign w:val="center"/>
          </w:tcPr>
          <w:p w14:paraId="0C4EDE44"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1</w:t>
            </w:r>
          </w:p>
        </w:tc>
        <w:tc>
          <w:tcPr>
            <w:tcW w:w="2235" w:type="dxa"/>
            <w:shd w:val="clear" w:color="auto" w:fill="auto"/>
            <w:vAlign w:val="center"/>
          </w:tcPr>
          <w:p w14:paraId="48B18D67"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0</w:t>
            </w:r>
          </w:p>
        </w:tc>
        <w:tc>
          <w:tcPr>
            <w:tcW w:w="2113" w:type="dxa"/>
            <w:shd w:val="clear" w:color="auto" w:fill="auto"/>
            <w:vAlign w:val="center"/>
          </w:tcPr>
          <w:p w14:paraId="5E8A72D2" w14:textId="77777777" w:rsidR="005B3FC8" w:rsidRPr="00CB33F3" w:rsidRDefault="005B3FC8" w:rsidP="006C2A43">
            <w:pPr>
              <w:rPr>
                <w:rFonts w:eastAsia="Times New Roman"/>
                <w:color w:val="000000" w:themeColor="text1"/>
                <w:szCs w:val="20"/>
                <w:lang w:eastAsia="en-GB"/>
              </w:rPr>
            </w:pPr>
            <w:r w:rsidRPr="00CB33F3">
              <w:rPr>
                <w:rFonts w:eastAsia="Times New Roman"/>
                <w:color w:val="000000" w:themeColor="text1"/>
                <w:szCs w:val="20"/>
                <w:lang w:eastAsia="en-GB"/>
              </w:rPr>
              <w:t xml:space="preserve">Financing needs assessment methodology / tool adopted by the </w:t>
            </w:r>
            <w:r w:rsidRPr="00CB33F3">
              <w:rPr>
                <w:rFonts w:eastAsia="Times New Roman"/>
                <w:color w:val="000000" w:themeColor="text1"/>
                <w:szCs w:val="20"/>
                <w:lang w:val="id-ID" w:eastAsia="en-GB"/>
              </w:rPr>
              <w:t>Go</w:t>
            </w:r>
            <w:r w:rsidRPr="00CB33F3">
              <w:rPr>
                <w:rFonts w:eastAsia="Times New Roman"/>
                <w:color w:val="000000" w:themeColor="text1"/>
                <w:szCs w:val="20"/>
                <w:lang w:eastAsia="en-GB"/>
              </w:rPr>
              <w:t>M</w:t>
            </w:r>
          </w:p>
        </w:tc>
        <w:tc>
          <w:tcPr>
            <w:tcW w:w="1966" w:type="dxa"/>
            <w:shd w:val="clear" w:color="auto" w:fill="auto"/>
            <w:vAlign w:val="center"/>
          </w:tcPr>
          <w:p w14:paraId="0063CA4B" w14:textId="77777777" w:rsidR="005B3FC8" w:rsidRPr="00CB33F3" w:rsidRDefault="005B3FC8" w:rsidP="006C2A43">
            <w:pPr>
              <w:rPr>
                <w:rFonts w:eastAsia="Times New Roman"/>
                <w:color w:val="000000" w:themeColor="text1"/>
                <w:szCs w:val="20"/>
                <w:lang w:eastAsia="en-GB"/>
              </w:rPr>
            </w:pPr>
            <w:r w:rsidRPr="00CB33F3">
              <w:rPr>
                <w:rFonts w:eastAsia="Times New Roman"/>
                <w:color w:val="000000" w:themeColor="text1"/>
                <w:szCs w:val="20"/>
                <w:lang w:eastAsia="en-GB"/>
              </w:rPr>
              <w:t>SDG unit, MNPI MOF, UNICEF, UNFPA and WHO</w:t>
            </w:r>
          </w:p>
        </w:tc>
      </w:tr>
      <w:tr w:rsidR="005B3FC8" w:rsidRPr="00CB33F3" w14:paraId="19DA3CFD" w14:textId="77777777" w:rsidTr="006C2A43">
        <w:trPr>
          <w:jc w:val="center"/>
        </w:trPr>
        <w:tc>
          <w:tcPr>
            <w:tcW w:w="2921" w:type="dxa"/>
            <w:shd w:val="clear" w:color="auto" w:fill="auto"/>
            <w:vAlign w:val="center"/>
          </w:tcPr>
          <w:p w14:paraId="31A2CD1F" w14:textId="77777777" w:rsidR="005B3FC8" w:rsidRPr="00CB33F3" w:rsidRDefault="005B3FC8" w:rsidP="006C2A43">
            <w:pPr>
              <w:rPr>
                <w:rFonts w:eastAsia="Times New Roman"/>
                <w:b/>
                <w:color w:val="000000" w:themeColor="text1"/>
                <w:szCs w:val="20"/>
                <w:lang w:eastAsia="en-GB"/>
              </w:rPr>
            </w:pPr>
            <w:r w:rsidRPr="00CB33F3">
              <w:rPr>
                <w:rFonts w:eastAsia="Times New Roman"/>
                <w:b/>
                <w:color w:val="000000" w:themeColor="text1"/>
                <w:szCs w:val="20"/>
                <w:lang w:eastAsia="en-GB"/>
              </w:rPr>
              <w:t>Output 1.1 indicator 2:</w:t>
            </w:r>
          </w:p>
          <w:p w14:paraId="4DA3F4EF" w14:textId="3939BF02" w:rsidR="005B3FC8" w:rsidRPr="00CB33F3" w:rsidRDefault="005B3FC8" w:rsidP="006C2A43">
            <w:pPr>
              <w:rPr>
                <w:rFonts w:eastAsia="Times New Roman"/>
                <w:b/>
                <w:color w:val="000000" w:themeColor="text1"/>
                <w:szCs w:val="20"/>
                <w:lang w:eastAsia="en-GB"/>
              </w:rPr>
            </w:pPr>
            <w:r w:rsidRPr="00CB33F3">
              <w:rPr>
                <w:rFonts w:eastAsia="Times New Roman"/>
                <w:color w:val="000000" w:themeColor="text1"/>
                <w:szCs w:val="20"/>
                <w:lang w:eastAsia="en-GB"/>
              </w:rPr>
              <w:t>% of priority SDG targets identified through the planned baseline update of the SDG indicators by the NBS are covered by the SDG financing needs assessment exercise</w:t>
            </w:r>
            <w:r w:rsidR="00C45845">
              <w:rPr>
                <w:rFonts w:eastAsia="Times New Roman"/>
                <w:color w:val="000000" w:themeColor="text1"/>
                <w:szCs w:val="20"/>
                <w:lang w:eastAsia="en-GB"/>
              </w:rPr>
              <w:t xml:space="preserve"> </w:t>
            </w:r>
            <w:r w:rsidR="00C45845">
              <w:rPr>
                <w:rFonts w:eastAsia="Times New Roman"/>
                <w:color w:val="000000" w:themeColor="text1"/>
                <w:szCs w:val="20"/>
                <w:lang w:eastAsia="en-GB"/>
              </w:rPr>
              <w:lastRenderedPageBreak/>
              <w:t>disaggregated by sex and age groups</w:t>
            </w:r>
          </w:p>
        </w:tc>
        <w:tc>
          <w:tcPr>
            <w:tcW w:w="1935" w:type="dxa"/>
            <w:shd w:val="clear" w:color="auto" w:fill="auto"/>
            <w:vAlign w:val="center"/>
          </w:tcPr>
          <w:p w14:paraId="25F85C9A"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lastRenderedPageBreak/>
              <w:t>0</w:t>
            </w:r>
          </w:p>
        </w:tc>
        <w:tc>
          <w:tcPr>
            <w:tcW w:w="2055" w:type="dxa"/>
            <w:shd w:val="clear" w:color="auto" w:fill="auto"/>
            <w:vAlign w:val="center"/>
          </w:tcPr>
          <w:p w14:paraId="44054960"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30%</w:t>
            </w:r>
          </w:p>
        </w:tc>
        <w:tc>
          <w:tcPr>
            <w:tcW w:w="2235" w:type="dxa"/>
            <w:shd w:val="clear" w:color="auto" w:fill="auto"/>
            <w:vAlign w:val="center"/>
          </w:tcPr>
          <w:p w14:paraId="19DCC204"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80%</w:t>
            </w:r>
          </w:p>
        </w:tc>
        <w:tc>
          <w:tcPr>
            <w:tcW w:w="2113" w:type="dxa"/>
            <w:shd w:val="clear" w:color="auto" w:fill="auto"/>
            <w:vAlign w:val="center"/>
          </w:tcPr>
          <w:p w14:paraId="450BDAA3" w14:textId="77777777" w:rsidR="005B3FC8" w:rsidRPr="00CB33F3" w:rsidRDefault="005B3FC8" w:rsidP="006C2A43">
            <w:pPr>
              <w:rPr>
                <w:rFonts w:eastAsia="Times New Roman"/>
                <w:color w:val="000000" w:themeColor="text1"/>
                <w:szCs w:val="20"/>
                <w:lang w:eastAsia="en-GB"/>
              </w:rPr>
            </w:pPr>
            <w:r w:rsidRPr="00CB33F3">
              <w:rPr>
                <w:rFonts w:eastAsia="Times New Roman"/>
                <w:color w:val="000000" w:themeColor="text1"/>
                <w:szCs w:val="20"/>
                <w:lang w:eastAsia="en-GB"/>
              </w:rPr>
              <w:t xml:space="preserve">SDG financing needs assessment report </w:t>
            </w:r>
          </w:p>
        </w:tc>
        <w:tc>
          <w:tcPr>
            <w:tcW w:w="1966" w:type="dxa"/>
            <w:shd w:val="clear" w:color="auto" w:fill="auto"/>
            <w:vAlign w:val="center"/>
          </w:tcPr>
          <w:p w14:paraId="72CF681E" w14:textId="77777777" w:rsidR="005B3FC8" w:rsidRPr="00CB33F3" w:rsidRDefault="005B3FC8" w:rsidP="006C2A43">
            <w:pPr>
              <w:rPr>
                <w:rFonts w:eastAsia="Times New Roman"/>
                <w:color w:val="000000" w:themeColor="text1"/>
                <w:szCs w:val="20"/>
                <w:lang w:eastAsia="en-GB"/>
              </w:rPr>
            </w:pPr>
            <w:r w:rsidRPr="00CB33F3">
              <w:rPr>
                <w:rFonts w:eastAsia="Times New Roman"/>
                <w:color w:val="000000" w:themeColor="text1"/>
                <w:szCs w:val="20"/>
                <w:lang w:eastAsia="en-GB"/>
              </w:rPr>
              <w:t>Representing bodies of the INFF oversight committee UNICEF, UNFPA and WHO</w:t>
            </w:r>
          </w:p>
        </w:tc>
      </w:tr>
      <w:tr w:rsidR="005B3FC8" w:rsidRPr="00CB33F3" w14:paraId="4FA2A6F6" w14:textId="77777777" w:rsidTr="006C2A43">
        <w:trPr>
          <w:jc w:val="center"/>
        </w:trPr>
        <w:tc>
          <w:tcPr>
            <w:tcW w:w="2921" w:type="dxa"/>
            <w:shd w:val="clear" w:color="auto" w:fill="auto"/>
            <w:vAlign w:val="center"/>
          </w:tcPr>
          <w:p w14:paraId="64627393" w14:textId="77777777" w:rsidR="005B3FC8" w:rsidRPr="00CB33F3" w:rsidRDefault="005B3FC8" w:rsidP="006C2A43">
            <w:pPr>
              <w:rPr>
                <w:rFonts w:eastAsia="Times New Roman"/>
                <w:b/>
                <w:color w:val="000000" w:themeColor="text1"/>
                <w:szCs w:val="20"/>
                <w:lang w:eastAsia="en-GB"/>
              </w:rPr>
            </w:pPr>
            <w:r w:rsidRPr="00CB33F3">
              <w:rPr>
                <w:rFonts w:eastAsia="Times New Roman"/>
                <w:b/>
                <w:color w:val="000000" w:themeColor="text1"/>
                <w:szCs w:val="20"/>
                <w:lang w:eastAsia="en-GB"/>
              </w:rPr>
              <w:t>Output 1.1 indicator 3:</w:t>
            </w:r>
          </w:p>
          <w:p w14:paraId="2FF8BB0D" w14:textId="77777777" w:rsidR="005B3FC8" w:rsidRPr="00CB33F3" w:rsidRDefault="005B3FC8" w:rsidP="006C2A43">
            <w:pPr>
              <w:rPr>
                <w:rFonts w:eastAsia="Times New Roman"/>
                <w:color w:val="000000" w:themeColor="text1"/>
                <w:szCs w:val="20"/>
                <w:lang w:eastAsia="en-GB"/>
              </w:rPr>
            </w:pPr>
            <w:r w:rsidRPr="00CB33F3">
              <w:rPr>
                <w:rFonts w:eastAsia="Times New Roman"/>
                <w:color w:val="000000" w:themeColor="text1"/>
                <w:szCs w:val="20"/>
                <w:lang w:val="id-ID" w:eastAsia="en-GB"/>
              </w:rPr>
              <w:t># of</w:t>
            </w:r>
            <w:r w:rsidRPr="00CB33F3">
              <w:rPr>
                <w:rFonts w:eastAsia="Times New Roman"/>
                <w:color w:val="000000" w:themeColor="text1"/>
                <w:szCs w:val="20"/>
                <w:lang w:eastAsia="en-GB"/>
              </w:rPr>
              <w:t xml:space="preserve"> </w:t>
            </w:r>
            <w:r w:rsidRPr="00CB33F3">
              <w:rPr>
                <w:rFonts w:eastAsia="Times New Roman"/>
                <w:color w:val="000000" w:themeColor="text1"/>
                <w:szCs w:val="20"/>
                <w:lang w:val="id-ID" w:eastAsia="en-GB"/>
              </w:rPr>
              <w:t xml:space="preserve">capacity builiding workshops </w:t>
            </w:r>
            <w:r w:rsidRPr="00CB33F3">
              <w:rPr>
                <w:color w:val="000000"/>
                <w:szCs w:val="20"/>
                <w:lang w:val="id-ID" w:eastAsia="en-GB"/>
              </w:rPr>
              <w:t>on how to conduct the SDG costing exercise for government officials</w:t>
            </w:r>
          </w:p>
        </w:tc>
        <w:tc>
          <w:tcPr>
            <w:tcW w:w="1935" w:type="dxa"/>
            <w:shd w:val="clear" w:color="auto" w:fill="auto"/>
            <w:vAlign w:val="center"/>
          </w:tcPr>
          <w:p w14:paraId="742CA3BB"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0</w:t>
            </w:r>
          </w:p>
        </w:tc>
        <w:tc>
          <w:tcPr>
            <w:tcW w:w="2055" w:type="dxa"/>
            <w:shd w:val="clear" w:color="auto" w:fill="auto"/>
            <w:vAlign w:val="center"/>
          </w:tcPr>
          <w:p w14:paraId="6F923E1B" w14:textId="77777777" w:rsidR="005B3FC8" w:rsidRPr="00CB33F3" w:rsidRDefault="005B3FC8" w:rsidP="006C2A43">
            <w:pPr>
              <w:jc w:val="center"/>
              <w:rPr>
                <w:rFonts w:eastAsia="Times New Roman"/>
                <w:color w:val="000000" w:themeColor="text1"/>
                <w:szCs w:val="20"/>
                <w:lang w:eastAsia="en-GB"/>
              </w:rPr>
            </w:pPr>
            <w:r w:rsidRPr="00CB33F3">
              <w:rPr>
                <w:color w:val="000000"/>
                <w:szCs w:val="20"/>
                <w:lang w:val="id-ID" w:eastAsia="en-GB"/>
              </w:rPr>
              <w:t>2</w:t>
            </w:r>
          </w:p>
        </w:tc>
        <w:tc>
          <w:tcPr>
            <w:tcW w:w="2235" w:type="dxa"/>
            <w:shd w:val="clear" w:color="auto" w:fill="auto"/>
            <w:vAlign w:val="center"/>
          </w:tcPr>
          <w:p w14:paraId="586597B4" w14:textId="77777777" w:rsidR="005B3FC8" w:rsidRPr="00CB33F3" w:rsidRDefault="005B3FC8" w:rsidP="006C2A43">
            <w:pPr>
              <w:jc w:val="center"/>
              <w:rPr>
                <w:rFonts w:eastAsia="Times New Roman"/>
                <w:color w:val="000000" w:themeColor="text1"/>
                <w:szCs w:val="20"/>
                <w:lang w:eastAsia="en-GB"/>
              </w:rPr>
            </w:pPr>
            <w:r w:rsidRPr="00CB33F3">
              <w:rPr>
                <w:color w:val="000000"/>
                <w:szCs w:val="20"/>
                <w:lang w:val="id-ID" w:eastAsia="en-GB"/>
              </w:rPr>
              <w:t xml:space="preserve">A report containing </w:t>
            </w:r>
            <w:r w:rsidRPr="00CB33F3">
              <w:rPr>
                <w:color w:val="000000"/>
                <w:szCs w:val="20"/>
                <w:lang w:eastAsia="en-GB"/>
              </w:rPr>
              <w:t>the SDG financing needs</w:t>
            </w:r>
            <w:r w:rsidRPr="00CB33F3">
              <w:rPr>
                <w:color w:val="000000"/>
                <w:szCs w:val="20"/>
                <w:lang w:val="id-ID" w:eastAsia="en-GB"/>
              </w:rPr>
              <w:t xml:space="preserve"> results for </w:t>
            </w:r>
            <w:r w:rsidRPr="00CB33F3">
              <w:rPr>
                <w:color w:val="000000"/>
                <w:szCs w:val="20"/>
                <w:lang w:eastAsia="en-GB"/>
              </w:rPr>
              <w:t>Maldives</w:t>
            </w:r>
            <w:r w:rsidRPr="00CB33F3">
              <w:rPr>
                <w:color w:val="000000"/>
                <w:szCs w:val="20"/>
                <w:lang w:val="id-ID" w:eastAsia="en-GB"/>
              </w:rPr>
              <w:t xml:space="preserve"> and background info (e.g.methodologies, data used).</w:t>
            </w:r>
          </w:p>
        </w:tc>
        <w:tc>
          <w:tcPr>
            <w:tcW w:w="2113" w:type="dxa"/>
            <w:shd w:val="clear" w:color="auto" w:fill="auto"/>
            <w:vAlign w:val="center"/>
          </w:tcPr>
          <w:p w14:paraId="4C79C502" w14:textId="77777777" w:rsidR="005B3FC8" w:rsidRPr="00CB33F3" w:rsidRDefault="005B3FC8" w:rsidP="006C2A43">
            <w:pPr>
              <w:rPr>
                <w:rFonts w:eastAsia="Times New Roman"/>
                <w:color w:val="000000" w:themeColor="text1"/>
                <w:szCs w:val="20"/>
                <w:lang w:eastAsia="en-GB"/>
              </w:rPr>
            </w:pPr>
            <w:r w:rsidRPr="00CB33F3">
              <w:rPr>
                <w:color w:val="000000"/>
                <w:szCs w:val="20"/>
                <w:lang w:val="id-ID" w:eastAsia="en-GB"/>
              </w:rPr>
              <w:t xml:space="preserve">Training materials, Workshop reports </w:t>
            </w:r>
            <w:r w:rsidRPr="00CB33F3">
              <w:rPr>
                <w:color w:val="000000"/>
                <w:szCs w:val="20"/>
                <w:lang w:eastAsia="en-GB"/>
              </w:rPr>
              <w:t>SDG financing needs assessment</w:t>
            </w:r>
            <w:r w:rsidRPr="00CB33F3">
              <w:rPr>
                <w:color w:val="000000"/>
                <w:szCs w:val="20"/>
                <w:lang w:val="id-ID" w:eastAsia="en-GB"/>
              </w:rPr>
              <w:t xml:space="preserve"> report</w:t>
            </w:r>
          </w:p>
        </w:tc>
        <w:tc>
          <w:tcPr>
            <w:tcW w:w="1966" w:type="dxa"/>
            <w:shd w:val="clear" w:color="auto" w:fill="auto"/>
            <w:vAlign w:val="center"/>
          </w:tcPr>
          <w:p w14:paraId="7687B7CA" w14:textId="77777777" w:rsidR="005B3FC8" w:rsidRPr="00CB33F3" w:rsidRDefault="005B3FC8" w:rsidP="006C2A43">
            <w:pPr>
              <w:rPr>
                <w:rFonts w:eastAsia="Times New Roman"/>
                <w:color w:val="000000" w:themeColor="text1"/>
                <w:szCs w:val="20"/>
                <w:lang w:eastAsia="en-GB"/>
              </w:rPr>
            </w:pPr>
            <w:r w:rsidRPr="00CB33F3">
              <w:rPr>
                <w:rFonts w:eastAsia="Times New Roman"/>
                <w:color w:val="000000" w:themeColor="text1"/>
                <w:szCs w:val="20"/>
                <w:lang w:eastAsia="en-GB"/>
              </w:rPr>
              <w:t>Representing bodies of the INFF oversight committee UNDP, UNICEF, UNFPA and WHO</w:t>
            </w:r>
          </w:p>
        </w:tc>
      </w:tr>
      <w:tr w:rsidR="005B3FC8" w:rsidRPr="00CB33F3" w14:paraId="50A7E9E9" w14:textId="77777777" w:rsidTr="00AB261B">
        <w:trPr>
          <w:jc w:val="center"/>
        </w:trPr>
        <w:tc>
          <w:tcPr>
            <w:tcW w:w="13225" w:type="dxa"/>
            <w:gridSpan w:val="6"/>
            <w:shd w:val="clear" w:color="auto" w:fill="EDEDED" w:themeFill="accent3" w:themeFillTint="33"/>
            <w:vAlign w:val="center"/>
          </w:tcPr>
          <w:p w14:paraId="2DEBF878" w14:textId="17462FD0" w:rsidR="005B3FC8" w:rsidRPr="00752E9A" w:rsidRDefault="005B3FC8" w:rsidP="00752E9A">
            <w:pPr>
              <w:jc w:val="both"/>
              <w:rPr>
                <w:szCs w:val="20"/>
              </w:rPr>
            </w:pPr>
            <w:r w:rsidRPr="00CB33F3">
              <w:rPr>
                <w:rFonts w:eastAsia="Times New Roman"/>
                <w:b/>
                <w:color w:val="000000" w:themeColor="text1"/>
                <w:szCs w:val="20"/>
                <w:lang w:eastAsia="en-GB"/>
              </w:rPr>
              <w:t>Output 1.2: In-depth gender responsive costing of social sector reforms completed for achieving quality, equity and sustainability in services</w:t>
            </w:r>
            <w:r w:rsidR="00116BF7">
              <w:rPr>
                <w:rFonts w:eastAsia="Times New Roman"/>
                <w:b/>
                <w:color w:val="000000" w:themeColor="text1"/>
                <w:szCs w:val="20"/>
                <w:lang w:eastAsia="en-GB"/>
              </w:rPr>
              <w:t xml:space="preserve"> </w:t>
            </w:r>
            <w:r w:rsidR="00116BF7">
              <w:rPr>
                <w:szCs w:val="20"/>
              </w:rPr>
              <w:t>including the impact for men and women.</w:t>
            </w:r>
          </w:p>
        </w:tc>
      </w:tr>
      <w:tr w:rsidR="005B3FC8" w:rsidRPr="00CB33F3" w14:paraId="5B858EBC" w14:textId="77777777" w:rsidTr="006C2A43">
        <w:trPr>
          <w:jc w:val="center"/>
        </w:trPr>
        <w:tc>
          <w:tcPr>
            <w:tcW w:w="2921" w:type="dxa"/>
            <w:shd w:val="clear" w:color="auto" w:fill="auto"/>
            <w:vAlign w:val="center"/>
          </w:tcPr>
          <w:p w14:paraId="54C57313" w14:textId="7C664B33" w:rsidR="005B3FC8" w:rsidRPr="00CB33F3" w:rsidRDefault="005B3FC8" w:rsidP="006C2A43">
            <w:pPr>
              <w:rPr>
                <w:rFonts w:eastAsia="Times New Roman"/>
                <w:color w:val="000000" w:themeColor="text1"/>
                <w:szCs w:val="20"/>
                <w:lang w:eastAsia="en-GB"/>
              </w:rPr>
            </w:pPr>
            <w:r w:rsidRPr="00CB33F3">
              <w:rPr>
                <w:rFonts w:eastAsia="Times New Roman"/>
                <w:b/>
                <w:color w:val="000000" w:themeColor="text1"/>
                <w:szCs w:val="20"/>
                <w:lang w:eastAsia="en-GB"/>
              </w:rPr>
              <w:t>Output 1.2 indicator 1:</w:t>
            </w:r>
            <w:r w:rsidRPr="00CB33F3">
              <w:rPr>
                <w:rFonts w:eastAsia="Times New Roman"/>
                <w:color w:val="000000" w:themeColor="text1"/>
                <w:szCs w:val="20"/>
                <w:lang w:eastAsia="en-GB"/>
              </w:rPr>
              <w:t xml:space="preserve"> % of gender </w:t>
            </w:r>
            <w:r w:rsidR="00C45845">
              <w:rPr>
                <w:rFonts w:eastAsia="Times New Roman"/>
                <w:color w:val="000000" w:themeColor="text1"/>
                <w:szCs w:val="20"/>
                <w:lang w:eastAsia="en-GB"/>
              </w:rPr>
              <w:t xml:space="preserve">responsive </w:t>
            </w:r>
            <w:r w:rsidRPr="00CB33F3">
              <w:rPr>
                <w:rFonts w:eastAsia="Times New Roman"/>
                <w:color w:val="000000" w:themeColor="text1"/>
                <w:szCs w:val="20"/>
                <w:lang w:eastAsia="en-GB"/>
              </w:rPr>
              <w:t xml:space="preserve">and other social sector related SDG targets covered by the specific financing needs assessment exercise for institutional service delivery reforms  </w:t>
            </w:r>
          </w:p>
        </w:tc>
        <w:tc>
          <w:tcPr>
            <w:tcW w:w="1935" w:type="dxa"/>
            <w:shd w:val="clear" w:color="auto" w:fill="auto"/>
            <w:vAlign w:val="center"/>
          </w:tcPr>
          <w:p w14:paraId="35DC7B2A"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0</w:t>
            </w:r>
          </w:p>
        </w:tc>
        <w:tc>
          <w:tcPr>
            <w:tcW w:w="2055" w:type="dxa"/>
            <w:shd w:val="clear" w:color="auto" w:fill="auto"/>
            <w:vAlign w:val="center"/>
          </w:tcPr>
          <w:p w14:paraId="666DDD3C"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30%</w:t>
            </w:r>
          </w:p>
        </w:tc>
        <w:tc>
          <w:tcPr>
            <w:tcW w:w="2235" w:type="dxa"/>
            <w:shd w:val="clear" w:color="auto" w:fill="auto"/>
            <w:vAlign w:val="center"/>
          </w:tcPr>
          <w:p w14:paraId="1FCD44FA"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80%</w:t>
            </w:r>
          </w:p>
        </w:tc>
        <w:tc>
          <w:tcPr>
            <w:tcW w:w="2113" w:type="dxa"/>
            <w:shd w:val="clear" w:color="auto" w:fill="auto"/>
            <w:vAlign w:val="center"/>
          </w:tcPr>
          <w:p w14:paraId="20DC002A" w14:textId="77777777" w:rsidR="005B3FC8" w:rsidRPr="00CB33F3" w:rsidRDefault="005B3FC8" w:rsidP="006C2A43">
            <w:pPr>
              <w:rPr>
                <w:rFonts w:eastAsia="Times New Roman"/>
                <w:color w:val="000000" w:themeColor="text1"/>
                <w:szCs w:val="20"/>
                <w:lang w:eastAsia="en-GB"/>
              </w:rPr>
            </w:pPr>
            <w:r w:rsidRPr="00CB33F3">
              <w:rPr>
                <w:rFonts w:eastAsia="Times New Roman"/>
                <w:color w:val="000000" w:themeColor="text1"/>
                <w:szCs w:val="20"/>
                <w:lang w:eastAsia="en-GB"/>
              </w:rPr>
              <w:t xml:space="preserve">Social sector financing needs assessment </w:t>
            </w:r>
          </w:p>
          <w:p w14:paraId="32FF20D4" w14:textId="77777777" w:rsidR="005B3FC8" w:rsidRPr="00CB33F3" w:rsidRDefault="005B3FC8" w:rsidP="006C2A43">
            <w:pPr>
              <w:rPr>
                <w:rFonts w:eastAsia="Times New Roman"/>
                <w:color w:val="000000" w:themeColor="text1"/>
                <w:szCs w:val="20"/>
                <w:lang w:eastAsia="en-GB"/>
              </w:rPr>
            </w:pPr>
            <w:r w:rsidRPr="00CB33F3">
              <w:rPr>
                <w:rFonts w:eastAsia="Times New Roman"/>
                <w:color w:val="000000" w:themeColor="text1"/>
                <w:szCs w:val="20"/>
                <w:lang w:eastAsia="en-GB"/>
              </w:rPr>
              <w:t>report</w:t>
            </w:r>
          </w:p>
        </w:tc>
        <w:tc>
          <w:tcPr>
            <w:tcW w:w="1966" w:type="dxa"/>
            <w:shd w:val="clear" w:color="auto" w:fill="auto"/>
            <w:vAlign w:val="center"/>
          </w:tcPr>
          <w:p w14:paraId="009B2921" w14:textId="77777777" w:rsidR="005B3FC8" w:rsidRPr="00CB33F3" w:rsidRDefault="005B3FC8" w:rsidP="006C2A43">
            <w:pPr>
              <w:rPr>
                <w:rFonts w:eastAsia="Times New Roman"/>
                <w:color w:val="000000" w:themeColor="text1"/>
                <w:szCs w:val="20"/>
                <w:lang w:eastAsia="en-GB"/>
              </w:rPr>
            </w:pPr>
            <w:r w:rsidRPr="00CB33F3">
              <w:rPr>
                <w:rFonts w:eastAsia="Times New Roman"/>
                <w:color w:val="000000" w:themeColor="text1"/>
                <w:szCs w:val="20"/>
                <w:lang w:eastAsia="en-GB"/>
              </w:rPr>
              <w:t>SDG unit, MNPI, MOF, UNICEF, UNFPA and WHO</w:t>
            </w:r>
          </w:p>
        </w:tc>
      </w:tr>
      <w:tr w:rsidR="005B3FC8" w:rsidRPr="00CB33F3" w14:paraId="3F91F21C" w14:textId="77777777" w:rsidTr="006C2A43">
        <w:trPr>
          <w:jc w:val="center"/>
        </w:trPr>
        <w:tc>
          <w:tcPr>
            <w:tcW w:w="2921" w:type="dxa"/>
            <w:shd w:val="clear" w:color="auto" w:fill="auto"/>
            <w:vAlign w:val="center"/>
          </w:tcPr>
          <w:p w14:paraId="2DC1A189" w14:textId="77777777" w:rsidR="005B3FC8" w:rsidRPr="00CB33F3" w:rsidRDefault="005B3FC8" w:rsidP="006C2A43">
            <w:pPr>
              <w:rPr>
                <w:rFonts w:eastAsia="Times New Roman"/>
                <w:b/>
                <w:color w:val="000000" w:themeColor="text1"/>
                <w:szCs w:val="20"/>
                <w:lang w:eastAsia="en-GB"/>
              </w:rPr>
            </w:pPr>
            <w:r w:rsidRPr="00CB33F3">
              <w:rPr>
                <w:rFonts w:eastAsia="Times New Roman"/>
                <w:b/>
                <w:color w:val="000000" w:themeColor="text1"/>
                <w:szCs w:val="20"/>
                <w:lang w:eastAsia="en-GB"/>
              </w:rPr>
              <w:t xml:space="preserve">Output 1.2 indicator 2: </w:t>
            </w:r>
          </w:p>
          <w:p w14:paraId="785EBE89" w14:textId="77777777" w:rsidR="005B3FC8" w:rsidRPr="00CB33F3" w:rsidRDefault="005B3FC8" w:rsidP="006C2A43">
            <w:pPr>
              <w:rPr>
                <w:rFonts w:eastAsia="Times New Roman"/>
                <w:color w:val="000000" w:themeColor="text1"/>
                <w:szCs w:val="20"/>
                <w:lang w:eastAsia="en-GB"/>
              </w:rPr>
            </w:pPr>
            <w:r w:rsidRPr="00CB33F3">
              <w:rPr>
                <w:rFonts w:eastAsia="Times New Roman"/>
                <w:color w:val="000000" w:themeColor="text1"/>
                <w:szCs w:val="20"/>
                <w:lang w:eastAsia="en-GB"/>
              </w:rPr>
              <w:t xml:space="preserve"># of social sector costing methodologies / tools adapted to focus on human capital development needs assessment </w:t>
            </w:r>
          </w:p>
        </w:tc>
        <w:tc>
          <w:tcPr>
            <w:tcW w:w="1935" w:type="dxa"/>
            <w:shd w:val="clear" w:color="auto" w:fill="auto"/>
            <w:vAlign w:val="center"/>
          </w:tcPr>
          <w:p w14:paraId="65C08FB1"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0</w:t>
            </w:r>
          </w:p>
        </w:tc>
        <w:tc>
          <w:tcPr>
            <w:tcW w:w="2055" w:type="dxa"/>
            <w:shd w:val="clear" w:color="auto" w:fill="auto"/>
            <w:vAlign w:val="center"/>
          </w:tcPr>
          <w:p w14:paraId="2755784E"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1</w:t>
            </w:r>
          </w:p>
        </w:tc>
        <w:tc>
          <w:tcPr>
            <w:tcW w:w="2235" w:type="dxa"/>
            <w:shd w:val="clear" w:color="auto" w:fill="auto"/>
            <w:vAlign w:val="center"/>
          </w:tcPr>
          <w:p w14:paraId="14F51D9B"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0</w:t>
            </w:r>
          </w:p>
        </w:tc>
        <w:tc>
          <w:tcPr>
            <w:tcW w:w="2113" w:type="dxa"/>
            <w:shd w:val="clear" w:color="auto" w:fill="auto"/>
            <w:vAlign w:val="center"/>
          </w:tcPr>
          <w:p w14:paraId="1A7D91E9" w14:textId="77777777" w:rsidR="005B3FC8" w:rsidRPr="00CB33F3" w:rsidRDefault="005B3FC8" w:rsidP="006C2A43">
            <w:pPr>
              <w:rPr>
                <w:rFonts w:eastAsia="Times New Roman"/>
                <w:color w:val="000000" w:themeColor="text1"/>
                <w:szCs w:val="20"/>
                <w:lang w:eastAsia="en-GB"/>
              </w:rPr>
            </w:pPr>
            <w:r w:rsidRPr="00CB33F3">
              <w:rPr>
                <w:rFonts w:eastAsia="Times New Roman"/>
                <w:color w:val="000000" w:themeColor="text1"/>
                <w:szCs w:val="20"/>
                <w:lang w:eastAsia="en-GB"/>
              </w:rPr>
              <w:t xml:space="preserve">Social sector costing methodology / tool adopted by the </w:t>
            </w:r>
            <w:r w:rsidRPr="00CB33F3">
              <w:rPr>
                <w:rFonts w:eastAsia="Times New Roman"/>
                <w:color w:val="000000" w:themeColor="text1"/>
                <w:szCs w:val="20"/>
                <w:lang w:val="id-ID" w:eastAsia="en-GB"/>
              </w:rPr>
              <w:t>Go</w:t>
            </w:r>
            <w:r w:rsidRPr="00CB33F3">
              <w:rPr>
                <w:rFonts w:eastAsia="Times New Roman"/>
                <w:color w:val="000000" w:themeColor="text1"/>
                <w:szCs w:val="20"/>
                <w:lang w:eastAsia="en-GB"/>
              </w:rPr>
              <w:t>M</w:t>
            </w:r>
          </w:p>
        </w:tc>
        <w:tc>
          <w:tcPr>
            <w:tcW w:w="1966" w:type="dxa"/>
            <w:shd w:val="clear" w:color="auto" w:fill="auto"/>
            <w:vAlign w:val="center"/>
          </w:tcPr>
          <w:p w14:paraId="5E535FE0" w14:textId="77777777" w:rsidR="005B3FC8" w:rsidRPr="00CB33F3" w:rsidRDefault="005B3FC8" w:rsidP="006C2A43">
            <w:pPr>
              <w:rPr>
                <w:rFonts w:eastAsia="Times New Roman"/>
                <w:color w:val="000000" w:themeColor="text1"/>
                <w:szCs w:val="20"/>
                <w:lang w:eastAsia="en-GB"/>
              </w:rPr>
            </w:pPr>
            <w:r w:rsidRPr="00CB33F3">
              <w:rPr>
                <w:rFonts w:eastAsia="Times New Roman"/>
                <w:color w:val="000000" w:themeColor="text1"/>
                <w:szCs w:val="20"/>
                <w:lang w:eastAsia="en-GB"/>
              </w:rPr>
              <w:t>MoE, MOGFSS. MOH, MOHE, MoF, MNPI UNFPA</w:t>
            </w:r>
          </w:p>
        </w:tc>
      </w:tr>
    </w:tbl>
    <w:p w14:paraId="49B44263" w14:textId="4A7B6B83" w:rsidR="005B3FC8" w:rsidRDefault="005B3FC8" w:rsidP="001134F6">
      <w:pPr>
        <w:rPr>
          <w:rFonts w:eastAsia="Times New Roman"/>
          <w:color w:val="000000" w:themeColor="text1"/>
          <w:szCs w:val="20"/>
          <w:lang w:eastAsia="en-GB"/>
        </w:rPr>
      </w:pPr>
    </w:p>
    <w:tbl>
      <w:tblPr>
        <w:tblStyle w:val="TableGrid"/>
        <w:tblW w:w="13225" w:type="dxa"/>
        <w:jc w:val="center"/>
        <w:tblLook w:val="04A0" w:firstRow="1" w:lastRow="0" w:firstColumn="1" w:lastColumn="0" w:noHBand="0" w:noVBand="1"/>
      </w:tblPr>
      <w:tblGrid>
        <w:gridCol w:w="2965"/>
        <w:gridCol w:w="1980"/>
        <w:gridCol w:w="2070"/>
        <w:gridCol w:w="2160"/>
        <w:gridCol w:w="2070"/>
        <w:gridCol w:w="1980"/>
      </w:tblGrid>
      <w:tr w:rsidR="005B3FC8" w:rsidRPr="001E7D91" w14:paraId="28703315" w14:textId="77777777" w:rsidTr="006C2A43">
        <w:trPr>
          <w:jc w:val="center"/>
        </w:trPr>
        <w:tc>
          <w:tcPr>
            <w:tcW w:w="13225" w:type="dxa"/>
            <w:gridSpan w:val="6"/>
            <w:shd w:val="clear" w:color="auto" w:fill="FFF2CC" w:themeFill="accent4" w:themeFillTint="33"/>
            <w:vAlign w:val="center"/>
          </w:tcPr>
          <w:p w14:paraId="36EC75CE" w14:textId="1F0EBC6E" w:rsidR="005B3FC8" w:rsidRPr="00CB33F3" w:rsidRDefault="005B3FC8" w:rsidP="006C2A43">
            <w:pPr>
              <w:rPr>
                <w:rFonts w:eastAsia="Times New Roman"/>
                <w:color w:val="000000" w:themeColor="text1"/>
                <w:szCs w:val="20"/>
                <w:lang w:eastAsia="en-GB"/>
              </w:rPr>
            </w:pPr>
            <w:r w:rsidRPr="00CB33F3">
              <w:rPr>
                <w:rFonts w:eastAsia="Times New Roman"/>
                <w:b/>
                <w:color w:val="000000" w:themeColor="text1"/>
                <w:szCs w:val="20"/>
                <w:lang w:eastAsia="en-GB"/>
              </w:rPr>
              <w:t>Outcome 2.</w:t>
            </w:r>
            <w:r w:rsidRPr="00CB33F3">
              <w:rPr>
                <w:rFonts w:eastAsia="Times New Roman"/>
                <w:color w:val="000000" w:themeColor="text1"/>
                <w:szCs w:val="20"/>
                <w:lang w:eastAsia="en-GB"/>
              </w:rPr>
              <w:t xml:space="preserve"> </w:t>
            </w:r>
            <w:r w:rsidRPr="00CB33F3">
              <w:rPr>
                <w:rFonts w:eastAsia="Times New Roman"/>
                <w:b/>
                <w:bCs/>
                <w:color w:val="000000" w:themeColor="text1"/>
                <w:szCs w:val="20"/>
                <w:lang w:eastAsia="en-GB"/>
              </w:rPr>
              <w:t>National Integrated Financing Strategy is developed and operationalized</w:t>
            </w:r>
          </w:p>
        </w:tc>
      </w:tr>
      <w:tr w:rsidR="005B3FC8" w:rsidRPr="001E7D91" w14:paraId="4044EF60" w14:textId="77777777" w:rsidTr="006C2A43">
        <w:trPr>
          <w:jc w:val="center"/>
        </w:trPr>
        <w:tc>
          <w:tcPr>
            <w:tcW w:w="2965" w:type="dxa"/>
            <w:vAlign w:val="center"/>
          </w:tcPr>
          <w:p w14:paraId="73647EE6" w14:textId="77777777" w:rsidR="005B3FC8" w:rsidRPr="00CB33F3" w:rsidRDefault="005B3FC8" w:rsidP="006C2A43">
            <w:pPr>
              <w:rPr>
                <w:rFonts w:eastAsia="Times New Roman"/>
                <w:b/>
                <w:bCs/>
                <w:color w:val="000000" w:themeColor="text1"/>
                <w:szCs w:val="20"/>
                <w:lang w:eastAsia="en-GB"/>
              </w:rPr>
            </w:pPr>
            <w:r w:rsidRPr="00CB33F3">
              <w:rPr>
                <w:rFonts w:eastAsia="Times New Roman"/>
                <w:b/>
                <w:bCs/>
                <w:color w:val="000000" w:themeColor="text1"/>
                <w:szCs w:val="20"/>
                <w:lang w:eastAsia="en-GB"/>
              </w:rPr>
              <w:t>Outcome 2</w:t>
            </w:r>
            <w:r w:rsidRPr="00CB33F3">
              <w:rPr>
                <w:rFonts w:eastAsia="Times New Roman"/>
                <w:color w:val="000000" w:themeColor="text1"/>
                <w:szCs w:val="20"/>
                <w:lang w:eastAsia="en-GB"/>
              </w:rPr>
              <w:t xml:space="preserve"> </w:t>
            </w:r>
            <w:r w:rsidRPr="00CB33F3">
              <w:rPr>
                <w:rFonts w:eastAsia="Times New Roman"/>
                <w:b/>
                <w:bCs/>
                <w:color w:val="000000" w:themeColor="text1"/>
                <w:szCs w:val="20"/>
                <w:lang w:eastAsia="en-GB"/>
              </w:rPr>
              <w:t>indicator 1:</w:t>
            </w:r>
          </w:p>
          <w:p w14:paraId="71652853" w14:textId="77777777" w:rsidR="005B3FC8" w:rsidRPr="00CB33F3" w:rsidRDefault="005B3FC8" w:rsidP="006C2A43">
            <w:pPr>
              <w:rPr>
                <w:rFonts w:eastAsia="Times New Roman"/>
                <w:color w:val="000000" w:themeColor="text1"/>
                <w:szCs w:val="20"/>
                <w:lang w:eastAsia="en-GB"/>
              </w:rPr>
            </w:pPr>
            <w:r w:rsidRPr="00CB33F3">
              <w:rPr>
                <w:rFonts w:eastAsia="Times New Roman"/>
                <w:color w:val="000000" w:themeColor="text1"/>
                <w:szCs w:val="20"/>
                <w:lang w:eastAsia="en-GB"/>
              </w:rPr>
              <w:t>Amount/percentage of financing re-structured and mobilized for national development priorities</w:t>
            </w:r>
            <w:r w:rsidRPr="00CB33F3" w:rsidDel="00FF3AB5">
              <w:rPr>
                <w:rFonts w:eastAsia="Times New Roman"/>
                <w:color w:val="000000" w:themeColor="text1"/>
                <w:szCs w:val="20"/>
                <w:lang w:eastAsia="en-GB"/>
              </w:rPr>
              <w:t xml:space="preserve"> </w:t>
            </w:r>
          </w:p>
        </w:tc>
        <w:tc>
          <w:tcPr>
            <w:tcW w:w="1980" w:type="dxa"/>
            <w:vAlign w:val="center"/>
          </w:tcPr>
          <w:p w14:paraId="50C8F236"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Data from Development Finance Assessment</w:t>
            </w:r>
          </w:p>
        </w:tc>
        <w:tc>
          <w:tcPr>
            <w:tcW w:w="2070" w:type="dxa"/>
            <w:vAlign w:val="center"/>
          </w:tcPr>
          <w:p w14:paraId="4800D769" w14:textId="77777777" w:rsidR="005B3FC8" w:rsidRPr="00CB33F3" w:rsidRDefault="005B3FC8" w:rsidP="006C2A43">
            <w:pPr>
              <w:rPr>
                <w:rFonts w:eastAsia="Times New Roman"/>
                <w:color w:val="000000" w:themeColor="text1"/>
                <w:szCs w:val="20"/>
                <w:lang w:eastAsia="en-GB"/>
              </w:rPr>
            </w:pPr>
          </w:p>
        </w:tc>
        <w:tc>
          <w:tcPr>
            <w:tcW w:w="2160" w:type="dxa"/>
            <w:vAlign w:val="center"/>
          </w:tcPr>
          <w:p w14:paraId="6354B028"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Increased share of private finance compared to data in the DFA report;</w:t>
            </w:r>
          </w:p>
          <w:p w14:paraId="42F6E6A4"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 xml:space="preserve">More efficient public resource allocation (in particular, for </w:t>
            </w:r>
            <w:r w:rsidRPr="00CB33F3">
              <w:rPr>
                <w:rFonts w:eastAsia="Times New Roman"/>
                <w:color w:val="000000" w:themeColor="text1"/>
                <w:szCs w:val="20"/>
                <w:lang w:eastAsia="en-GB"/>
              </w:rPr>
              <w:lastRenderedPageBreak/>
              <w:t>climate and social sectors)</w:t>
            </w:r>
          </w:p>
        </w:tc>
        <w:tc>
          <w:tcPr>
            <w:tcW w:w="2070" w:type="dxa"/>
            <w:vAlign w:val="center"/>
          </w:tcPr>
          <w:p w14:paraId="14FB01F0" w14:textId="77777777" w:rsidR="005B3FC8" w:rsidRPr="00CB33F3" w:rsidRDefault="005B3FC8" w:rsidP="006C2A43">
            <w:pPr>
              <w:rPr>
                <w:rFonts w:eastAsia="Times New Roman"/>
                <w:color w:val="000000" w:themeColor="text1"/>
                <w:szCs w:val="20"/>
                <w:lang w:eastAsia="en-GB"/>
              </w:rPr>
            </w:pPr>
            <w:r w:rsidRPr="00CB33F3">
              <w:rPr>
                <w:rFonts w:eastAsia="Times New Roman"/>
                <w:color w:val="000000" w:themeColor="text1"/>
                <w:szCs w:val="20"/>
                <w:lang w:eastAsia="en-GB"/>
              </w:rPr>
              <w:lastRenderedPageBreak/>
              <w:t>National budget documents</w:t>
            </w:r>
          </w:p>
        </w:tc>
        <w:tc>
          <w:tcPr>
            <w:tcW w:w="1980" w:type="dxa"/>
            <w:vAlign w:val="center"/>
          </w:tcPr>
          <w:p w14:paraId="7C861E4A" w14:textId="77777777" w:rsidR="005B3FC8" w:rsidRPr="00CB33F3" w:rsidRDefault="005B3FC8" w:rsidP="006C2A43">
            <w:pPr>
              <w:rPr>
                <w:rFonts w:eastAsia="Times New Roman"/>
                <w:color w:val="000000" w:themeColor="text1"/>
                <w:szCs w:val="20"/>
                <w:lang w:eastAsia="en-GB"/>
              </w:rPr>
            </w:pPr>
            <w:r w:rsidRPr="00CB33F3">
              <w:rPr>
                <w:rFonts w:eastAsia="Times New Roman"/>
                <w:color w:val="000000" w:themeColor="text1"/>
                <w:szCs w:val="20"/>
                <w:lang w:eastAsia="en-GB"/>
              </w:rPr>
              <w:t>Representing bodies of the INFF oversight committee, other line ministries, UNDP, UNICEF, UNFPA and WHO</w:t>
            </w:r>
          </w:p>
        </w:tc>
      </w:tr>
      <w:tr w:rsidR="005B3FC8" w:rsidRPr="00461A41" w14:paraId="27ECCF28" w14:textId="77777777" w:rsidTr="006C2A43">
        <w:trPr>
          <w:jc w:val="center"/>
        </w:trPr>
        <w:tc>
          <w:tcPr>
            <w:tcW w:w="13225" w:type="dxa"/>
            <w:gridSpan w:val="6"/>
            <w:shd w:val="clear" w:color="auto" w:fill="EDEDED" w:themeFill="accent3" w:themeFillTint="33"/>
            <w:vAlign w:val="center"/>
          </w:tcPr>
          <w:p w14:paraId="2F9FFE55" w14:textId="55F6B3B3" w:rsidR="005B3FC8" w:rsidRPr="00CB33F3" w:rsidRDefault="005B3FC8" w:rsidP="006C2A43">
            <w:pPr>
              <w:rPr>
                <w:rFonts w:eastAsia="Times New Roman"/>
                <w:b/>
                <w:color w:val="000000" w:themeColor="text1"/>
                <w:szCs w:val="20"/>
                <w:lang w:eastAsia="en-GB"/>
              </w:rPr>
            </w:pPr>
            <w:r w:rsidRPr="00CB33F3">
              <w:rPr>
                <w:rFonts w:eastAsia="Times New Roman"/>
                <w:b/>
                <w:color w:val="000000" w:themeColor="text1"/>
                <w:szCs w:val="20"/>
                <w:lang w:eastAsia="en-GB"/>
              </w:rPr>
              <w:t>Output 2.1: A</w:t>
            </w:r>
            <w:r w:rsidR="009936D9">
              <w:rPr>
                <w:rFonts w:eastAsia="Times New Roman"/>
                <w:b/>
                <w:color w:val="000000" w:themeColor="text1"/>
                <w:szCs w:val="20"/>
                <w:lang w:eastAsia="en-GB"/>
              </w:rPr>
              <w:t xml:space="preserve"> gender-responsive</w:t>
            </w:r>
            <w:r w:rsidRPr="00CB33F3">
              <w:rPr>
                <w:rFonts w:eastAsia="Times New Roman"/>
                <w:b/>
                <w:color w:val="000000" w:themeColor="text1"/>
                <w:szCs w:val="20"/>
                <w:lang w:eastAsia="en-GB"/>
              </w:rPr>
              <w:t xml:space="preserve"> integrated financing strategy is articulated</w:t>
            </w:r>
          </w:p>
        </w:tc>
      </w:tr>
      <w:tr w:rsidR="005B3FC8" w:rsidRPr="001E7D91" w14:paraId="7A65CD6A" w14:textId="77777777" w:rsidTr="006C2A43">
        <w:trPr>
          <w:jc w:val="center"/>
        </w:trPr>
        <w:tc>
          <w:tcPr>
            <w:tcW w:w="2965" w:type="dxa"/>
            <w:vAlign w:val="center"/>
          </w:tcPr>
          <w:p w14:paraId="42D407EC" w14:textId="77777777" w:rsidR="005B3FC8" w:rsidRPr="00CB33F3" w:rsidRDefault="005B3FC8" w:rsidP="006C2A43">
            <w:pPr>
              <w:rPr>
                <w:rFonts w:eastAsia="Times New Roman"/>
                <w:color w:val="000000" w:themeColor="text1"/>
                <w:szCs w:val="20"/>
                <w:lang w:eastAsia="en-GB"/>
              </w:rPr>
            </w:pPr>
            <w:r w:rsidRPr="00CB33F3">
              <w:rPr>
                <w:rFonts w:eastAsia="Times New Roman"/>
                <w:b/>
                <w:color w:val="000000" w:themeColor="text1"/>
                <w:szCs w:val="20"/>
                <w:lang w:eastAsia="en-GB"/>
              </w:rPr>
              <w:t>Output 2.1 indicator 1:</w:t>
            </w:r>
            <w:r w:rsidRPr="00CB33F3">
              <w:rPr>
                <w:rFonts w:eastAsia="Times New Roman"/>
                <w:color w:val="000000" w:themeColor="text1"/>
                <w:szCs w:val="20"/>
                <w:lang w:eastAsia="en-GB"/>
              </w:rPr>
              <w:t xml:space="preserve">  # of integrated financing strategies identifying financing solutions for closing the SDG financing gap that have been developed with government in lead and adopted</w:t>
            </w:r>
          </w:p>
        </w:tc>
        <w:tc>
          <w:tcPr>
            <w:tcW w:w="1980" w:type="dxa"/>
            <w:vAlign w:val="center"/>
          </w:tcPr>
          <w:p w14:paraId="5B40D322"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0</w:t>
            </w:r>
          </w:p>
        </w:tc>
        <w:tc>
          <w:tcPr>
            <w:tcW w:w="2070" w:type="dxa"/>
            <w:vAlign w:val="center"/>
          </w:tcPr>
          <w:p w14:paraId="60F0967E"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0</w:t>
            </w:r>
          </w:p>
        </w:tc>
        <w:tc>
          <w:tcPr>
            <w:tcW w:w="2160" w:type="dxa"/>
            <w:vAlign w:val="center"/>
          </w:tcPr>
          <w:p w14:paraId="08CA4322"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1</w:t>
            </w:r>
          </w:p>
        </w:tc>
        <w:tc>
          <w:tcPr>
            <w:tcW w:w="2070" w:type="dxa"/>
            <w:vAlign w:val="center"/>
          </w:tcPr>
          <w:p w14:paraId="527E1D48" w14:textId="77777777" w:rsidR="005B3FC8" w:rsidRPr="00CB33F3" w:rsidRDefault="005B3FC8" w:rsidP="006C2A43">
            <w:pPr>
              <w:rPr>
                <w:rFonts w:eastAsia="Times New Roman"/>
                <w:color w:val="000000" w:themeColor="text1"/>
                <w:szCs w:val="20"/>
                <w:lang w:eastAsia="en-GB"/>
              </w:rPr>
            </w:pPr>
            <w:r w:rsidRPr="00CB33F3">
              <w:rPr>
                <w:rFonts w:eastAsia="Times New Roman"/>
                <w:color w:val="000000" w:themeColor="text1"/>
                <w:szCs w:val="20"/>
                <w:lang w:eastAsia="en-GB"/>
              </w:rPr>
              <w:t>National Financing Strategy</w:t>
            </w:r>
          </w:p>
        </w:tc>
        <w:tc>
          <w:tcPr>
            <w:tcW w:w="1980" w:type="dxa"/>
            <w:vAlign w:val="center"/>
          </w:tcPr>
          <w:p w14:paraId="4B363A42" w14:textId="77777777" w:rsidR="005B3FC8" w:rsidRPr="00CB33F3" w:rsidRDefault="005B3FC8" w:rsidP="006C2A43">
            <w:pPr>
              <w:rPr>
                <w:rFonts w:eastAsia="Times New Roman"/>
                <w:color w:val="000000" w:themeColor="text1"/>
                <w:szCs w:val="20"/>
                <w:lang w:eastAsia="en-GB"/>
              </w:rPr>
            </w:pPr>
            <w:r w:rsidRPr="00CB33F3">
              <w:rPr>
                <w:rFonts w:eastAsia="Times New Roman"/>
                <w:color w:val="000000" w:themeColor="text1"/>
                <w:szCs w:val="20"/>
                <w:lang w:eastAsia="en-GB"/>
              </w:rPr>
              <w:t>UNDP, UNICEF, WHO and UNFPA</w:t>
            </w:r>
          </w:p>
        </w:tc>
      </w:tr>
      <w:tr w:rsidR="005B3FC8" w:rsidRPr="001E7D91" w14:paraId="592E9495" w14:textId="77777777" w:rsidTr="006C2A43">
        <w:trPr>
          <w:jc w:val="center"/>
        </w:trPr>
        <w:tc>
          <w:tcPr>
            <w:tcW w:w="2965" w:type="dxa"/>
            <w:vAlign w:val="center"/>
          </w:tcPr>
          <w:p w14:paraId="2E865ABD" w14:textId="77777777" w:rsidR="005B3FC8" w:rsidRPr="00CB33F3" w:rsidRDefault="005B3FC8" w:rsidP="006C2A43">
            <w:pPr>
              <w:rPr>
                <w:rFonts w:eastAsia="Times New Roman"/>
                <w:b/>
                <w:color w:val="000000" w:themeColor="text1"/>
                <w:szCs w:val="20"/>
                <w:lang w:eastAsia="en-GB"/>
              </w:rPr>
            </w:pPr>
            <w:r w:rsidRPr="00CB33F3">
              <w:rPr>
                <w:rFonts w:eastAsia="Times New Roman"/>
                <w:b/>
                <w:color w:val="000000" w:themeColor="text1"/>
                <w:szCs w:val="20"/>
                <w:lang w:eastAsia="en-GB"/>
              </w:rPr>
              <w:t>Output 2.1 indicator 2:</w:t>
            </w:r>
          </w:p>
          <w:p w14:paraId="7353C89E" w14:textId="77777777" w:rsidR="005B3FC8" w:rsidRPr="00CB33F3" w:rsidRDefault="005B3FC8" w:rsidP="006C2A43">
            <w:pPr>
              <w:rPr>
                <w:rFonts w:eastAsia="Times New Roman"/>
                <w:color w:val="000000" w:themeColor="text1"/>
                <w:szCs w:val="20"/>
                <w:lang w:eastAsia="en-GB"/>
              </w:rPr>
            </w:pPr>
            <w:r w:rsidRPr="00CB33F3">
              <w:rPr>
                <w:rFonts w:eastAsia="Times New Roman"/>
                <w:color w:val="000000" w:themeColor="text1"/>
                <w:szCs w:val="20"/>
                <w:lang w:eastAsia="en-GB"/>
              </w:rPr>
              <w:t># of stand-alone financing strategy sections on climate finance addressing SDGs 2, 6, 7, 11, 14, 15 that have been developed with government in lead and adopted</w:t>
            </w:r>
          </w:p>
        </w:tc>
        <w:tc>
          <w:tcPr>
            <w:tcW w:w="1980" w:type="dxa"/>
            <w:vAlign w:val="center"/>
          </w:tcPr>
          <w:p w14:paraId="70444BEF" w14:textId="3D9CB18B"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 xml:space="preserve">The existing climate finance investment portfolio compiled by the Ministry of Environment does not </w:t>
            </w:r>
            <w:r w:rsidR="00B21C3F" w:rsidRPr="00CB33F3">
              <w:rPr>
                <w:rFonts w:eastAsia="Times New Roman"/>
                <w:color w:val="000000" w:themeColor="text1"/>
                <w:szCs w:val="20"/>
                <w:lang w:eastAsia="en-GB"/>
              </w:rPr>
              <w:t>provide incentives</w:t>
            </w:r>
            <w:r w:rsidRPr="00CB33F3">
              <w:rPr>
                <w:rFonts w:eastAsia="Times New Roman"/>
                <w:color w:val="000000" w:themeColor="text1"/>
                <w:szCs w:val="20"/>
                <w:lang w:eastAsia="en-GB"/>
              </w:rPr>
              <w:t xml:space="preserve"> targeting private sector participation and is not based on accurate climate-related public investments</w:t>
            </w:r>
          </w:p>
        </w:tc>
        <w:tc>
          <w:tcPr>
            <w:tcW w:w="2070" w:type="dxa"/>
            <w:vAlign w:val="center"/>
          </w:tcPr>
          <w:p w14:paraId="0721F774"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0</w:t>
            </w:r>
          </w:p>
        </w:tc>
        <w:tc>
          <w:tcPr>
            <w:tcW w:w="2160" w:type="dxa"/>
            <w:vAlign w:val="center"/>
          </w:tcPr>
          <w:p w14:paraId="3D1ED8B6"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1</w:t>
            </w:r>
          </w:p>
        </w:tc>
        <w:tc>
          <w:tcPr>
            <w:tcW w:w="2070" w:type="dxa"/>
            <w:vAlign w:val="center"/>
          </w:tcPr>
          <w:p w14:paraId="636C811A" w14:textId="77777777" w:rsidR="005B3FC8" w:rsidRPr="00CB33F3" w:rsidRDefault="005B3FC8" w:rsidP="006C2A43">
            <w:pPr>
              <w:rPr>
                <w:rFonts w:eastAsia="Times New Roman"/>
                <w:color w:val="000000" w:themeColor="text1"/>
                <w:szCs w:val="20"/>
                <w:lang w:eastAsia="en-GB"/>
              </w:rPr>
            </w:pPr>
            <w:r w:rsidRPr="00CB33F3">
              <w:rPr>
                <w:rFonts w:eastAsia="Times New Roman"/>
                <w:color w:val="000000" w:themeColor="text1"/>
                <w:szCs w:val="20"/>
                <w:lang w:eastAsia="en-GB"/>
              </w:rPr>
              <w:t>National Financing Strategy</w:t>
            </w:r>
          </w:p>
        </w:tc>
        <w:tc>
          <w:tcPr>
            <w:tcW w:w="1980" w:type="dxa"/>
            <w:vAlign w:val="center"/>
          </w:tcPr>
          <w:p w14:paraId="54A1AB1F" w14:textId="77777777" w:rsidR="005B3FC8" w:rsidRPr="00CB33F3" w:rsidRDefault="005B3FC8" w:rsidP="006C2A43">
            <w:pPr>
              <w:rPr>
                <w:rFonts w:eastAsia="Times New Roman"/>
                <w:color w:val="000000" w:themeColor="text1"/>
                <w:szCs w:val="20"/>
                <w:lang w:eastAsia="en-GB"/>
              </w:rPr>
            </w:pPr>
            <w:r w:rsidRPr="00CB33F3">
              <w:rPr>
                <w:rFonts w:eastAsia="Times New Roman"/>
                <w:color w:val="000000" w:themeColor="text1"/>
                <w:szCs w:val="20"/>
                <w:lang w:eastAsia="en-GB"/>
              </w:rPr>
              <w:t>MoEN, MOF, MNPI, MOT, MED, business actors, UNDP</w:t>
            </w:r>
          </w:p>
        </w:tc>
      </w:tr>
      <w:tr w:rsidR="005B3FC8" w:rsidRPr="001E7D91" w14:paraId="7182A843" w14:textId="77777777" w:rsidTr="006C2A43">
        <w:trPr>
          <w:jc w:val="center"/>
        </w:trPr>
        <w:tc>
          <w:tcPr>
            <w:tcW w:w="2965" w:type="dxa"/>
            <w:vAlign w:val="center"/>
          </w:tcPr>
          <w:p w14:paraId="6B070D8A" w14:textId="77777777" w:rsidR="005B3FC8" w:rsidRPr="00CB33F3" w:rsidRDefault="005B3FC8" w:rsidP="006C2A43">
            <w:pPr>
              <w:rPr>
                <w:rFonts w:eastAsia="Times New Roman"/>
                <w:b/>
                <w:color w:val="000000" w:themeColor="text1"/>
                <w:szCs w:val="20"/>
                <w:lang w:eastAsia="en-GB"/>
              </w:rPr>
            </w:pPr>
            <w:r w:rsidRPr="00CB33F3">
              <w:rPr>
                <w:rFonts w:eastAsia="Times New Roman"/>
                <w:b/>
                <w:color w:val="000000" w:themeColor="text1"/>
                <w:szCs w:val="20"/>
                <w:lang w:eastAsia="en-GB"/>
              </w:rPr>
              <w:t>Output 2.1 indicator 3:</w:t>
            </w:r>
          </w:p>
          <w:p w14:paraId="089F592D" w14:textId="77777777" w:rsidR="005B3FC8" w:rsidRPr="00CB33F3" w:rsidRDefault="005B3FC8" w:rsidP="006C2A43">
            <w:pPr>
              <w:rPr>
                <w:rFonts w:eastAsia="Times New Roman"/>
                <w:b/>
                <w:color w:val="000000" w:themeColor="text1"/>
                <w:szCs w:val="20"/>
                <w:lang w:eastAsia="en-GB"/>
              </w:rPr>
            </w:pPr>
            <w:r w:rsidRPr="00CB33F3">
              <w:rPr>
                <w:rFonts w:eastAsia="Times New Roman"/>
                <w:color w:val="000000" w:themeColor="text1"/>
                <w:szCs w:val="20"/>
                <w:lang w:eastAsia="en-GB"/>
              </w:rPr>
              <w:t># of stand-alone financing strategy sections on social service reforms required to achieve quality, equity and sustainability to achieve the SDGs 2, 3, 4, 5, 7, 10. that have been developed with government in lead and adopted</w:t>
            </w:r>
          </w:p>
        </w:tc>
        <w:tc>
          <w:tcPr>
            <w:tcW w:w="1980" w:type="dxa"/>
            <w:vAlign w:val="center"/>
          </w:tcPr>
          <w:p w14:paraId="642CD881"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0</w:t>
            </w:r>
          </w:p>
        </w:tc>
        <w:tc>
          <w:tcPr>
            <w:tcW w:w="2070" w:type="dxa"/>
            <w:vAlign w:val="center"/>
          </w:tcPr>
          <w:p w14:paraId="277ABFCE"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0</w:t>
            </w:r>
          </w:p>
        </w:tc>
        <w:tc>
          <w:tcPr>
            <w:tcW w:w="2160" w:type="dxa"/>
            <w:vAlign w:val="center"/>
          </w:tcPr>
          <w:p w14:paraId="2B1D0DBD"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1</w:t>
            </w:r>
          </w:p>
        </w:tc>
        <w:tc>
          <w:tcPr>
            <w:tcW w:w="2070" w:type="dxa"/>
            <w:vAlign w:val="center"/>
          </w:tcPr>
          <w:p w14:paraId="14A4E594" w14:textId="77777777" w:rsidR="005B3FC8" w:rsidRPr="00CB33F3" w:rsidRDefault="005B3FC8" w:rsidP="006C2A43">
            <w:pPr>
              <w:rPr>
                <w:rFonts w:eastAsia="Times New Roman"/>
                <w:color w:val="000000" w:themeColor="text1"/>
                <w:szCs w:val="20"/>
                <w:lang w:eastAsia="en-GB"/>
              </w:rPr>
            </w:pPr>
            <w:r w:rsidRPr="00CB33F3">
              <w:rPr>
                <w:rFonts w:eastAsia="Times New Roman"/>
                <w:color w:val="000000" w:themeColor="text1"/>
                <w:szCs w:val="20"/>
                <w:lang w:eastAsia="en-GB"/>
              </w:rPr>
              <w:t>National Financing Strategy</w:t>
            </w:r>
          </w:p>
        </w:tc>
        <w:tc>
          <w:tcPr>
            <w:tcW w:w="1980" w:type="dxa"/>
            <w:vAlign w:val="center"/>
          </w:tcPr>
          <w:p w14:paraId="1508110C" w14:textId="77777777" w:rsidR="005B3FC8" w:rsidRPr="00CB33F3" w:rsidRDefault="005B3FC8" w:rsidP="006C2A43">
            <w:pPr>
              <w:rPr>
                <w:rFonts w:eastAsia="Times New Roman"/>
                <w:color w:val="000000" w:themeColor="text1"/>
                <w:szCs w:val="20"/>
                <w:lang w:eastAsia="en-GB"/>
              </w:rPr>
            </w:pPr>
            <w:r w:rsidRPr="00CB33F3">
              <w:rPr>
                <w:rFonts w:eastAsia="Times New Roman"/>
                <w:color w:val="000000" w:themeColor="text1"/>
                <w:szCs w:val="20"/>
                <w:lang w:eastAsia="en-GB"/>
              </w:rPr>
              <w:t>MoE, MOGFSS. MOH, MOHE, MoF, MNPI, UNICEF, WHO and UNFPA</w:t>
            </w:r>
          </w:p>
        </w:tc>
      </w:tr>
      <w:tr w:rsidR="005B3FC8" w:rsidRPr="00461A41" w14:paraId="49EB03A4" w14:textId="77777777" w:rsidTr="006C2A43">
        <w:trPr>
          <w:jc w:val="center"/>
        </w:trPr>
        <w:tc>
          <w:tcPr>
            <w:tcW w:w="13225" w:type="dxa"/>
            <w:gridSpan w:val="6"/>
            <w:shd w:val="clear" w:color="auto" w:fill="EDEDED" w:themeFill="accent3" w:themeFillTint="33"/>
            <w:vAlign w:val="center"/>
          </w:tcPr>
          <w:p w14:paraId="3C7E074E" w14:textId="122737EE" w:rsidR="005B3FC8" w:rsidRPr="00CB33F3" w:rsidRDefault="005B3FC8" w:rsidP="006C2A43">
            <w:pPr>
              <w:rPr>
                <w:rFonts w:eastAsia="Times New Roman"/>
                <w:b/>
                <w:color w:val="000000" w:themeColor="text1"/>
                <w:szCs w:val="20"/>
                <w:lang w:eastAsia="en-GB"/>
              </w:rPr>
            </w:pPr>
            <w:r w:rsidRPr="00CB33F3">
              <w:rPr>
                <w:rFonts w:eastAsia="Times New Roman"/>
                <w:b/>
                <w:color w:val="000000" w:themeColor="text1"/>
                <w:szCs w:val="20"/>
                <w:lang w:eastAsia="en-GB"/>
              </w:rPr>
              <w:lastRenderedPageBreak/>
              <w:t xml:space="preserve">Output 2.2: Implementation of </w:t>
            </w:r>
            <w:r w:rsidR="009B2458">
              <w:rPr>
                <w:rFonts w:eastAsia="Times New Roman"/>
                <w:b/>
                <w:color w:val="000000" w:themeColor="text1"/>
                <w:szCs w:val="20"/>
                <w:lang w:eastAsia="en-GB"/>
              </w:rPr>
              <w:t>a gender responsive</w:t>
            </w:r>
            <w:r w:rsidR="009B2458" w:rsidRPr="00CB33F3">
              <w:rPr>
                <w:rFonts w:eastAsia="Times New Roman"/>
                <w:b/>
                <w:color w:val="000000" w:themeColor="text1"/>
                <w:szCs w:val="20"/>
                <w:lang w:eastAsia="en-GB"/>
              </w:rPr>
              <w:t xml:space="preserve"> </w:t>
            </w:r>
            <w:r w:rsidRPr="00CB33F3">
              <w:rPr>
                <w:rFonts w:eastAsia="Times New Roman"/>
                <w:b/>
                <w:color w:val="000000" w:themeColor="text1"/>
                <w:szCs w:val="20"/>
                <w:lang w:eastAsia="en-GB"/>
              </w:rPr>
              <w:t>integrated financing strategy supported</w:t>
            </w:r>
          </w:p>
        </w:tc>
      </w:tr>
      <w:tr w:rsidR="005B3FC8" w:rsidRPr="001E7D91" w14:paraId="133706DB" w14:textId="77777777" w:rsidTr="006C2A43">
        <w:trPr>
          <w:jc w:val="center"/>
        </w:trPr>
        <w:tc>
          <w:tcPr>
            <w:tcW w:w="2965" w:type="dxa"/>
            <w:vAlign w:val="center"/>
          </w:tcPr>
          <w:p w14:paraId="57F78F48" w14:textId="77777777" w:rsidR="005B3FC8" w:rsidRPr="00CB33F3" w:rsidRDefault="005B3FC8" w:rsidP="006C2A43">
            <w:pPr>
              <w:rPr>
                <w:rFonts w:eastAsia="Times New Roman"/>
                <w:color w:val="000000" w:themeColor="text1"/>
                <w:szCs w:val="20"/>
                <w:lang w:eastAsia="en-GB"/>
              </w:rPr>
            </w:pPr>
            <w:r w:rsidRPr="00CB33F3">
              <w:rPr>
                <w:rFonts w:eastAsia="Times New Roman"/>
                <w:b/>
                <w:color w:val="000000" w:themeColor="text1"/>
                <w:szCs w:val="20"/>
                <w:lang w:eastAsia="en-GB"/>
              </w:rPr>
              <w:t>Output 2.2 indicator 1:</w:t>
            </w:r>
            <w:r w:rsidRPr="00CB33F3">
              <w:rPr>
                <w:rFonts w:eastAsia="Times New Roman"/>
                <w:color w:val="000000" w:themeColor="text1"/>
                <w:szCs w:val="20"/>
                <w:lang w:eastAsia="en-GB"/>
              </w:rPr>
              <w:t xml:space="preserve"> </w:t>
            </w:r>
            <w:r w:rsidRPr="00CB33F3">
              <w:rPr>
                <w:rFonts w:eastAsia="Times New Roman"/>
                <w:color w:val="000000" w:themeColor="text1"/>
                <w:szCs w:val="20"/>
                <w:lang w:val="id-ID" w:eastAsia="en-GB"/>
              </w:rPr>
              <w:t>#</w:t>
            </w:r>
            <w:r w:rsidRPr="00CB33F3">
              <w:rPr>
                <w:rFonts w:eastAsia="Times New Roman"/>
                <w:color w:val="000000" w:themeColor="text1"/>
                <w:szCs w:val="20"/>
                <w:lang w:eastAsia="en-GB"/>
              </w:rPr>
              <w:t xml:space="preserve"> of tools/policies</w:t>
            </w:r>
            <w:r w:rsidRPr="00CB33F3">
              <w:rPr>
                <w:rFonts w:eastAsia="Times New Roman"/>
                <w:color w:val="000000" w:themeColor="text1"/>
                <w:szCs w:val="20"/>
                <w:lang w:val="id-ID" w:eastAsia="en-GB"/>
              </w:rPr>
              <w:t xml:space="preserve"> </w:t>
            </w:r>
            <w:r w:rsidRPr="00CB33F3">
              <w:rPr>
                <w:rFonts w:eastAsia="Times New Roman"/>
                <w:color w:val="000000" w:themeColor="text1"/>
                <w:szCs w:val="20"/>
                <w:lang w:eastAsia="en-GB"/>
              </w:rPr>
              <w:t xml:space="preserve">developed to address the need to account for inequalities, including gender inequalities, in fiscal policies and ongoing PFM reforms </w:t>
            </w:r>
          </w:p>
        </w:tc>
        <w:tc>
          <w:tcPr>
            <w:tcW w:w="1980" w:type="dxa"/>
            <w:vAlign w:val="center"/>
          </w:tcPr>
          <w:p w14:paraId="4F409BCA"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0</w:t>
            </w:r>
          </w:p>
        </w:tc>
        <w:tc>
          <w:tcPr>
            <w:tcW w:w="2070" w:type="dxa"/>
            <w:vAlign w:val="center"/>
          </w:tcPr>
          <w:p w14:paraId="7CA57E07"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0</w:t>
            </w:r>
          </w:p>
        </w:tc>
        <w:tc>
          <w:tcPr>
            <w:tcW w:w="2160" w:type="dxa"/>
            <w:vAlign w:val="center"/>
          </w:tcPr>
          <w:p w14:paraId="73E0D717"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1</w:t>
            </w:r>
          </w:p>
        </w:tc>
        <w:tc>
          <w:tcPr>
            <w:tcW w:w="2070" w:type="dxa"/>
            <w:vAlign w:val="center"/>
          </w:tcPr>
          <w:p w14:paraId="13A873A3" w14:textId="77777777" w:rsidR="005B3FC8" w:rsidRPr="00CB33F3" w:rsidRDefault="005B3FC8" w:rsidP="006C2A43">
            <w:pPr>
              <w:rPr>
                <w:rFonts w:eastAsia="Times New Roman"/>
                <w:color w:val="000000" w:themeColor="text1"/>
                <w:szCs w:val="20"/>
                <w:lang w:eastAsia="en-GB"/>
              </w:rPr>
            </w:pPr>
            <w:r w:rsidRPr="00CB33F3">
              <w:rPr>
                <w:rFonts w:eastAsia="Times New Roman"/>
                <w:color w:val="000000" w:themeColor="text1"/>
                <w:szCs w:val="20"/>
                <w:lang w:val="id-ID" w:eastAsia="en-GB"/>
              </w:rPr>
              <w:t>Gender responsive t</w:t>
            </w:r>
            <w:r w:rsidRPr="00CB33F3">
              <w:rPr>
                <w:rFonts w:eastAsia="Times New Roman"/>
                <w:color w:val="000000" w:themeColor="text1"/>
                <w:szCs w:val="20"/>
                <w:lang w:eastAsia="en-GB"/>
              </w:rPr>
              <w:t xml:space="preserve">ools/policies adopted by the </w:t>
            </w:r>
            <w:r w:rsidRPr="00CB33F3">
              <w:rPr>
                <w:rFonts w:eastAsia="Times New Roman"/>
                <w:color w:val="000000" w:themeColor="text1"/>
                <w:szCs w:val="20"/>
                <w:lang w:val="id-ID" w:eastAsia="en-GB"/>
              </w:rPr>
              <w:t>Go</w:t>
            </w:r>
            <w:r w:rsidRPr="00CB33F3">
              <w:rPr>
                <w:rFonts w:eastAsia="Times New Roman"/>
                <w:color w:val="000000" w:themeColor="text1"/>
                <w:szCs w:val="20"/>
                <w:lang w:eastAsia="en-GB"/>
              </w:rPr>
              <w:t>M</w:t>
            </w:r>
          </w:p>
        </w:tc>
        <w:tc>
          <w:tcPr>
            <w:tcW w:w="1980" w:type="dxa"/>
            <w:vAlign w:val="center"/>
          </w:tcPr>
          <w:p w14:paraId="4068E571" w14:textId="77777777" w:rsidR="005B3FC8" w:rsidRPr="00CB33F3" w:rsidRDefault="005B3FC8" w:rsidP="006C2A43">
            <w:pPr>
              <w:rPr>
                <w:rFonts w:eastAsia="Times New Roman"/>
                <w:color w:val="000000" w:themeColor="text1"/>
                <w:szCs w:val="20"/>
                <w:lang w:eastAsia="en-GB"/>
              </w:rPr>
            </w:pPr>
            <w:r w:rsidRPr="00CB33F3">
              <w:rPr>
                <w:rFonts w:eastAsia="Times New Roman"/>
                <w:color w:val="000000" w:themeColor="text1"/>
                <w:szCs w:val="20"/>
                <w:lang w:eastAsia="en-GB"/>
              </w:rPr>
              <w:t>MoE, MOGFSS. MOH, MOHE, MoF, Parliamentary Committees, WB, USAID, UNICEF</w:t>
            </w:r>
          </w:p>
        </w:tc>
      </w:tr>
      <w:tr w:rsidR="005B3FC8" w:rsidRPr="001E7D91" w14:paraId="60226F35" w14:textId="77777777" w:rsidTr="006C2A43">
        <w:trPr>
          <w:jc w:val="center"/>
        </w:trPr>
        <w:tc>
          <w:tcPr>
            <w:tcW w:w="2965" w:type="dxa"/>
            <w:vAlign w:val="center"/>
          </w:tcPr>
          <w:p w14:paraId="410EBB20" w14:textId="77777777" w:rsidR="005B3FC8" w:rsidRPr="00CB33F3" w:rsidRDefault="005B3FC8" w:rsidP="006C2A43">
            <w:pPr>
              <w:rPr>
                <w:rFonts w:eastAsia="Times New Roman"/>
                <w:b/>
                <w:color w:val="000000" w:themeColor="text1"/>
                <w:szCs w:val="20"/>
                <w:lang w:eastAsia="en-GB"/>
              </w:rPr>
            </w:pPr>
            <w:r w:rsidRPr="00CB33F3">
              <w:rPr>
                <w:rFonts w:eastAsia="Times New Roman"/>
                <w:b/>
                <w:color w:val="000000" w:themeColor="text1"/>
                <w:szCs w:val="20"/>
                <w:lang w:eastAsia="en-GB"/>
              </w:rPr>
              <w:t xml:space="preserve">Output 2.2 indicator 2: </w:t>
            </w:r>
          </w:p>
          <w:p w14:paraId="6D2DA3F9" w14:textId="77777777" w:rsidR="005B3FC8" w:rsidRPr="00CB33F3" w:rsidRDefault="005B3FC8" w:rsidP="006C2A43">
            <w:pPr>
              <w:rPr>
                <w:rFonts w:eastAsia="Times New Roman"/>
                <w:color w:val="000000" w:themeColor="text1"/>
                <w:szCs w:val="20"/>
                <w:lang w:eastAsia="en-GB"/>
              </w:rPr>
            </w:pPr>
            <w:r w:rsidRPr="00CB33F3">
              <w:rPr>
                <w:rFonts w:eastAsia="Times New Roman"/>
                <w:color w:val="000000" w:themeColor="text1"/>
                <w:szCs w:val="20"/>
                <w:lang w:eastAsia="en-GB"/>
              </w:rPr>
              <w:t xml:space="preserve"># of capacity building workshops on budget appraisal, budget scrutiny, gender budget audits and reporting relevant to social service delivery </w:t>
            </w:r>
            <w:r w:rsidRPr="00CB33F3">
              <w:rPr>
                <w:color w:val="000000"/>
                <w:szCs w:val="20"/>
                <w:lang w:val="id-ID" w:eastAsia="en-GB"/>
              </w:rPr>
              <w:t xml:space="preserve">for government </w:t>
            </w:r>
            <w:r w:rsidRPr="00CB33F3">
              <w:rPr>
                <w:color w:val="000000"/>
                <w:szCs w:val="20"/>
                <w:lang w:eastAsia="en-GB"/>
              </w:rPr>
              <w:t xml:space="preserve">and parliament </w:t>
            </w:r>
            <w:r w:rsidRPr="00CB33F3">
              <w:rPr>
                <w:color w:val="000000"/>
                <w:szCs w:val="20"/>
                <w:lang w:val="id-ID" w:eastAsia="en-GB"/>
              </w:rPr>
              <w:t>officials</w:t>
            </w:r>
          </w:p>
        </w:tc>
        <w:tc>
          <w:tcPr>
            <w:tcW w:w="1980" w:type="dxa"/>
            <w:vAlign w:val="center"/>
          </w:tcPr>
          <w:p w14:paraId="0AF87023"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0</w:t>
            </w:r>
          </w:p>
        </w:tc>
        <w:tc>
          <w:tcPr>
            <w:tcW w:w="2070" w:type="dxa"/>
            <w:vAlign w:val="center"/>
          </w:tcPr>
          <w:p w14:paraId="77F298BF" w14:textId="77777777" w:rsidR="005B3FC8" w:rsidRPr="00CB33F3" w:rsidRDefault="005B3FC8" w:rsidP="006C2A43">
            <w:pPr>
              <w:jc w:val="center"/>
              <w:rPr>
                <w:rFonts w:eastAsia="Times New Roman"/>
                <w:color w:val="000000" w:themeColor="text1"/>
                <w:szCs w:val="20"/>
                <w:lang w:eastAsia="en-GB"/>
              </w:rPr>
            </w:pPr>
            <w:r w:rsidRPr="00CB33F3">
              <w:rPr>
                <w:color w:val="000000"/>
                <w:szCs w:val="20"/>
                <w:lang w:eastAsia="en-GB"/>
              </w:rPr>
              <w:t>0</w:t>
            </w:r>
          </w:p>
        </w:tc>
        <w:tc>
          <w:tcPr>
            <w:tcW w:w="2160" w:type="dxa"/>
            <w:vAlign w:val="center"/>
          </w:tcPr>
          <w:p w14:paraId="30DAD3C5" w14:textId="77777777" w:rsidR="005B3FC8" w:rsidRPr="00CB33F3" w:rsidRDefault="005B3FC8" w:rsidP="006C2A43">
            <w:pPr>
              <w:jc w:val="center"/>
              <w:rPr>
                <w:rFonts w:eastAsia="Times New Roman"/>
                <w:color w:val="000000" w:themeColor="text1"/>
                <w:szCs w:val="20"/>
                <w:lang w:eastAsia="en-GB"/>
              </w:rPr>
            </w:pPr>
            <w:r w:rsidRPr="00CB33F3">
              <w:rPr>
                <w:color w:val="000000"/>
                <w:szCs w:val="20"/>
                <w:lang w:val="id-ID" w:eastAsia="en-GB"/>
              </w:rPr>
              <w:t>2</w:t>
            </w:r>
          </w:p>
        </w:tc>
        <w:tc>
          <w:tcPr>
            <w:tcW w:w="2070" w:type="dxa"/>
            <w:vAlign w:val="center"/>
          </w:tcPr>
          <w:p w14:paraId="55FAF41F" w14:textId="77777777" w:rsidR="005B3FC8" w:rsidRPr="00CB33F3" w:rsidRDefault="005B3FC8" w:rsidP="006C2A43">
            <w:pPr>
              <w:rPr>
                <w:rFonts w:eastAsia="Times New Roman"/>
                <w:color w:val="000000" w:themeColor="text1"/>
                <w:szCs w:val="20"/>
                <w:lang w:eastAsia="en-GB"/>
              </w:rPr>
            </w:pPr>
            <w:r w:rsidRPr="00CB33F3">
              <w:rPr>
                <w:color w:val="000000"/>
                <w:szCs w:val="20"/>
                <w:lang w:val="id-ID" w:eastAsia="en-GB"/>
              </w:rPr>
              <w:t xml:space="preserve">Training materials, Workshop reports </w:t>
            </w:r>
          </w:p>
        </w:tc>
        <w:tc>
          <w:tcPr>
            <w:tcW w:w="1980" w:type="dxa"/>
            <w:vAlign w:val="center"/>
          </w:tcPr>
          <w:p w14:paraId="17743503" w14:textId="77777777" w:rsidR="005B3FC8" w:rsidRPr="00CB33F3" w:rsidRDefault="005B3FC8" w:rsidP="006C2A43">
            <w:pPr>
              <w:rPr>
                <w:rFonts w:eastAsia="Times New Roman"/>
                <w:color w:val="000000" w:themeColor="text1"/>
                <w:szCs w:val="20"/>
                <w:lang w:eastAsia="en-GB"/>
              </w:rPr>
            </w:pPr>
            <w:r w:rsidRPr="00CB33F3">
              <w:rPr>
                <w:rFonts w:eastAsia="Times New Roman"/>
                <w:color w:val="000000" w:themeColor="text1"/>
                <w:szCs w:val="20"/>
                <w:lang w:eastAsia="en-GB"/>
              </w:rPr>
              <w:t>MoE, MOGFSS. MOH, MOHE, MoF, Parliamentary Committees, WB, USAID, UNICEF and UNFPA</w:t>
            </w:r>
          </w:p>
        </w:tc>
      </w:tr>
      <w:tr w:rsidR="005B3FC8" w:rsidRPr="001E7D91" w14:paraId="307CCDFF" w14:textId="77777777" w:rsidTr="006C2A43">
        <w:trPr>
          <w:jc w:val="center"/>
        </w:trPr>
        <w:tc>
          <w:tcPr>
            <w:tcW w:w="2965" w:type="dxa"/>
            <w:vAlign w:val="center"/>
          </w:tcPr>
          <w:p w14:paraId="24112A29" w14:textId="77777777" w:rsidR="005B3FC8" w:rsidRPr="00CB33F3" w:rsidRDefault="005B3FC8" w:rsidP="006C2A43">
            <w:pPr>
              <w:rPr>
                <w:rFonts w:eastAsia="Times New Roman"/>
                <w:b/>
                <w:color w:val="000000" w:themeColor="text1"/>
                <w:szCs w:val="20"/>
                <w:lang w:eastAsia="en-GB"/>
              </w:rPr>
            </w:pPr>
            <w:r w:rsidRPr="00CB33F3">
              <w:rPr>
                <w:rFonts w:eastAsia="Times New Roman"/>
                <w:b/>
                <w:color w:val="000000" w:themeColor="text1"/>
                <w:szCs w:val="20"/>
                <w:lang w:eastAsia="en-GB"/>
              </w:rPr>
              <w:t xml:space="preserve">Output 2.2 indicator 3: </w:t>
            </w:r>
          </w:p>
          <w:p w14:paraId="418B1B92" w14:textId="77777777" w:rsidR="005B3FC8" w:rsidRPr="00CB33F3" w:rsidRDefault="005B3FC8" w:rsidP="006C2A43">
            <w:pPr>
              <w:rPr>
                <w:rFonts w:eastAsia="Times New Roman"/>
                <w:color w:val="000000" w:themeColor="text1"/>
                <w:szCs w:val="20"/>
                <w:lang w:eastAsia="en-GB"/>
              </w:rPr>
            </w:pPr>
            <w:r w:rsidRPr="00CB33F3">
              <w:rPr>
                <w:rFonts w:eastAsia="Times New Roman"/>
                <w:color w:val="000000" w:themeColor="text1"/>
                <w:szCs w:val="20"/>
                <w:lang w:eastAsia="en-GB"/>
              </w:rPr>
              <w:t># of activities/initiatives developed to automate the medicine and medical material management to minimize health spending leakages in procurement and distribution</w:t>
            </w:r>
          </w:p>
        </w:tc>
        <w:tc>
          <w:tcPr>
            <w:tcW w:w="1980" w:type="dxa"/>
            <w:vAlign w:val="center"/>
          </w:tcPr>
          <w:p w14:paraId="10AD7E1E"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0</w:t>
            </w:r>
          </w:p>
        </w:tc>
        <w:tc>
          <w:tcPr>
            <w:tcW w:w="2070" w:type="dxa"/>
            <w:vAlign w:val="center"/>
          </w:tcPr>
          <w:p w14:paraId="6ACC02B6"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0</w:t>
            </w:r>
          </w:p>
        </w:tc>
        <w:tc>
          <w:tcPr>
            <w:tcW w:w="2160" w:type="dxa"/>
            <w:vAlign w:val="center"/>
          </w:tcPr>
          <w:p w14:paraId="2F90FAB4"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1</w:t>
            </w:r>
          </w:p>
        </w:tc>
        <w:tc>
          <w:tcPr>
            <w:tcW w:w="2070" w:type="dxa"/>
            <w:vAlign w:val="center"/>
          </w:tcPr>
          <w:p w14:paraId="67EE8529" w14:textId="77777777" w:rsidR="005B3FC8" w:rsidRPr="00CB33F3" w:rsidRDefault="005B3FC8" w:rsidP="006C2A43">
            <w:pPr>
              <w:rPr>
                <w:rFonts w:eastAsia="Times New Roman"/>
                <w:color w:val="000000" w:themeColor="text1"/>
                <w:szCs w:val="20"/>
                <w:lang w:eastAsia="en-GB"/>
              </w:rPr>
            </w:pPr>
            <w:r w:rsidRPr="00CB33F3">
              <w:rPr>
                <w:rFonts w:eastAsia="Times New Roman"/>
                <w:color w:val="000000" w:themeColor="text1"/>
                <w:szCs w:val="20"/>
                <w:lang w:eastAsia="en-GB"/>
              </w:rPr>
              <w:t xml:space="preserve">Procurement and inventory reports, National Health Accounts </w:t>
            </w:r>
          </w:p>
        </w:tc>
        <w:tc>
          <w:tcPr>
            <w:tcW w:w="1980" w:type="dxa"/>
            <w:vAlign w:val="center"/>
          </w:tcPr>
          <w:p w14:paraId="44775175" w14:textId="77777777" w:rsidR="005B3FC8" w:rsidRPr="00CB33F3" w:rsidRDefault="005B3FC8" w:rsidP="006C2A43">
            <w:pPr>
              <w:rPr>
                <w:rFonts w:eastAsia="Times New Roman"/>
                <w:color w:val="000000" w:themeColor="text1"/>
                <w:szCs w:val="20"/>
                <w:lang w:eastAsia="en-GB"/>
              </w:rPr>
            </w:pPr>
            <w:r w:rsidRPr="00CB33F3">
              <w:rPr>
                <w:rFonts w:eastAsia="Times New Roman"/>
                <w:color w:val="000000" w:themeColor="text1"/>
                <w:szCs w:val="20"/>
                <w:lang w:eastAsia="en-GB"/>
              </w:rPr>
              <w:t>Ministry of Health, Ministry of Finance, WHO</w:t>
            </w:r>
          </w:p>
        </w:tc>
      </w:tr>
      <w:tr w:rsidR="005B3FC8" w:rsidRPr="001E7D91" w14:paraId="428B4269" w14:textId="77777777" w:rsidTr="006C2A43">
        <w:trPr>
          <w:jc w:val="center"/>
        </w:trPr>
        <w:tc>
          <w:tcPr>
            <w:tcW w:w="2965" w:type="dxa"/>
            <w:vAlign w:val="center"/>
          </w:tcPr>
          <w:p w14:paraId="3EF776F8" w14:textId="77777777" w:rsidR="005B3FC8" w:rsidRPr="00CB33F3" w:rsidRDefault="005B3FC8" w:rsidP="006C2A43">
            <w:pPr>
              <w:rPr>
                <w:rFonts w:eastAsia="Times New Roman"/>
                <w:b/>
                <w:color w:val="000000" w:themeColor="text1"/>
                <w:szCs w:val="20"/>
                <w:lang w:eastAsia="en-GB"/>
              </w:rPr>
            </w:pPr>
            <w:r w:rsidRPr="00CB33F3">
              <w:rPr>
                <w:rFonts w:eastAsia="Times New Roman"/>
                <w:b/>
                <w:color w:val="000000" w:themeColor="text1"/>
                <w:szCs w:val="20"/>
                <w:lang w:eastAsia="en-GB"/>
              </w:rPr>
              <w:t xml:space="preserve">Output 2.2 indicator 4: </w:t>
            </w:r>
          </w:p>
          <w:p w14:paraId="369BDEF0" w14:textId="77777777" w:rsidR="005B3FC8" w:rsidRPr="00CB33F3" w:rsidRDefault="005B3FC8" w:rsidP="006C2A43">
            <w:pPr>
              <w:rPr>
                <w:rFonts w:eastAsia="Times New Roman"/>
                <w:color w:val="000000" w:themeColor="text1"/>
                <w:szCs w:val="20"/>
                <w:lang w:eastAsia="en-GB"/>
              </w:rPr>
            </w:pPr>
            <w:r w:rsidRPr="00CB33F3">
              <w:rPr>
                <w:rFonts w:eastAsia="Times New Roman"/>
                <w:color w:val="000000" w:themeColor="text1"/>
                <w:szCs w:val="20"/>
                <w:lang w:eastAsia="en-GB"/>
              </w:rPr>
              <w:t># of tools/policies</w:t>
            </w:r>
            <w:r w:rsidRPr="00CB33F3">
              <w:rPr>
                <w:rFonts w:eastAsia="Times New Roman"/>
                <w:color w:val="000000" w:themeColor="text1"/>
                <w:szCs w:val="20"/>
                <w:lang w:val="id-ID" w:eastAsia="en-GB"/>
              </w:rPr>
              <w:t xml:space="preserve"> </w:t>
            </w:r>
            <w:r w:rsidRPr="00CB33F3">
              <w:rPr>
                <w:rFonts w:eastAsia="Times New Roman"/>
                <w:color w:val="000000" w:themeColor="text1"/>
                <w:szCs w:val="20"/>
                <w:lang w:eastAsia="en-GB"/>
              </w:rPr>
              <w:t xml:space="preserve">developed on private investment incentives and advocacy to leverage climate finance from the private sector </w:t>
            </w:r>
          </w:p>
        </w:tc>
        <w:tc>
          <w:tcPr>
            <w:tcW w:w="1980" w:type="dxa"/>
            <w:vAlign w:val="center"/>
          </w:tcPr>
          <w:p w14:paraId="14C464AC"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0</w:t>
            </w:r>
          </w:p>
        </w:tc>
        <w:tc>
          <w:tcPr>
            <w:tcW w:w="2070" w:type="dxa"/>
            <w:vAlign w:val="center"/>
          </w:tcPr>
          <w:p w14:paraId="4D56D8E6"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0</w:t>
            </w:r>
          </w:p>
        </w:tc>
        <w:tc>
          <w:tcPr>
            <w:tcW w:w="2160" w:type="dxa"/>
            <w:vAlign w:val="center"/>
          </w:tcPr>
          <w:p w14:paraId="17CBD529" w14:textId="77777777" w:rsidR="005B3FC8" w:rsidRPr="00CB33F3" w:rsidRDefault="005B3FC8" w:rsidP="006C2A43">
            <w:pPr>
              <w:jc w:val="center"/>
              <w:rPr>
                <w:rFonts w:eastAsia="Times New Roman"/>
                <w:color w:val="000000" w:themeColor="text1"/>
                <w:szCs w:val="20"/>
                <w:lang w:eastAsia="en-GB"/>
              </w:rPr>
            </w:pPr>
            <w:r w:rsidRPr="00CB33F3">
              <w:rPr>
                <w:rFonts w:eastAsia="Times New Roman"/>
                <w:color w:val="000000" w:themeColor="text1"/>
                <w:szCs w:val="20"/>
                <w:lang w:eastAsia="en-GB"/>
              </w:rPr>
              <w:t>1</w:t>
            </w:r>
          </w:p>
        </w:tc>
        <w:tc>
          <w:tcPr>
            <w:tcW w:w="2070" w:type="dxa"/>
            <w:vAlign w:val="center"/>
          </w:tcPr>
          <w:p w14:paraId="01BD4510" w14:textId="77777777" w:rsidR="005B3FC8" w:rsidRPr="00CB33F3" w:rsidRDefault="005B3FC8" w:rsidP="006C2A43">
            <w:pPr>
              <w:rPr>
                <w:rFonts w:eastAsia="Times New Roman"/>
                <w:color w:val="000000" w:themeColor="text1"/>
                <w:szCs w:val="20"/>
                <w:lang w:eastAsia="en-GB"/>
              </w:rPr>
            </w:pPr>
            <w:r w:rsidRPr="00CB33F3">
              <w:rPr>
                <w:rFonts w:eastAsia="Times New Roman"/>
                <w:color w:val="000000" w:themeColor="text1"/>
                <w:szCs w:val="20"/>
                <w:lang w:eastAsia="en-GB"/>
              </w:rPr>
              <w:t>Climate finance</w:t>
            </w:r>
            <w:r w:rsidRPr="00CB33F3">
              <w:rPr>
                <w:rFonts w:eastAsia="Times New Roman"/>
                <w:color w:val="000000" w:themeColor="text1"/>
                <w:szCs w:val="20"/>
                <w:lang w:val="id-ID" w:eastAsia="en-GB"/>
              </w:rPr>
              <w:t xml:space="preserve"> t</w:t>
            </w:r>
            <w:r w:rsidRPr="00CB33F3">
              <w:rPr>
                <w:rFonts w:eastAsia="Times New Roman"/>
                <w:color w:val="000000" w:themeColor="text1"/>
                <w:szCs w:val="20"/>
                <w:lang w:eastAsia="en-GB"/>
              </w:rPr>
              <w:t xml:space="preserve">ools/policies adopted by the </w:t>
            </w:r>
            <w:r w:rsidRPr="00CB33F3">
              <w:rPr>
                <w:rFonts w:eastAsia="Times New Roman"/>
                <w:color w:val="000000" w:themeColor="text1"/>
                <w:szCs w:val="20"/>
                <w:lang w:val="id-ID" w:eastAsia="en-GB"/>
              </w:rPr>
              <w:t>Go</w:t>
            </w:r>
            <w:r w:rsidRPr="00CB33F3">
              <w:rPr>
                <w:rFonts w:eastAsia="Times New Roman"/>
                <w:color w:val="000000" w:themeColor="text1"/>
                <w:szCs w:val="20"/>
                <w:lang w:eastAsia="en-GB"/>
              </w:rPr>
              <w:t>M</w:t>
            </w:r>
          </w:p>
        </w:tc>
        <w:tc>
          <w:tcPr>
            <w:tcW w:w="1980" w:type="dxa"/>
            <w:vAlign w:val="center"/>
          </w:tcPr>
          <w:p w14:paraId="550F2F02" w14:textId="77777777" w:rsidR="005B3FC8" w:rsidRPr="00CB33F3" w:rsidRDefault="005B3FC8" w:rsidP="006C2A43">
            <w:pPr>
              <w:rPr>
                <w:rFonts w:eastAsia="Times New Roman"/>
                <w:color w:val="000000" w:themeColor="text1"/>
                <w:szCs w:val="20"/>
                <w:lang w:eastAsia="en-GB"/>
              </w:rPr>
            </w:pPr>
            <w:r w:rsidRPr="00CB33F3">
              <w:rPr>
                <w:rFonts w:eastAsia="Times New Roman"/>
                <w:color w:val="000000" w:themeColor="text1"/>
                <w:szCs w:val="20"/>
                <w:lang w:eastAsia="en-GB"/>
              </w:rPr>
              <w:t>MoEN, MOF, MNPI, MOT, MED, business actors, ADB,  IsDB UNFCCC secretariat, UNDP</w:t>
            </w:r>
          </w:p>
        </w:tc>
      </w:tr>
    </w:tbl>
    <w:p w14:paraId="7BD8601F" w14:textId="0C5DF69B" w:rsidR="005B3FC8" w:rsidRDefault="005B3FC8" w:rsidP="001134F6">
      <w:pPr>
        <w:rPr>
          <w:rFonts w:eastAsia="Times New Roman"/>
          <w:color w:val="000000" w:themeColor="text1"/>
          <w:szCs w:val="20"/>
          <w:lang w:eastAsia="en-GB"/>
        </w:rPr>
      </w:pPr>
    </w:p>
    <w:tbl>
      <w:tblPr>
        <w:tblStyle w:val="TableGrid"/>
        <w:tblW w:w="13225" w:type="dxa"/>
        <w:jc w:val="center"/>
        <w:tblLook w:val="04A0" w:firstRow="1" w:lastRow="0" w:firstColumn="1" w:lastColumn="0" w:noHBand="0" w:noVBand="1"/>
      </w:tblPr>
      <w:tblGrid>
        <w:gridCol w:w="2965"/>
        <w:gridCol w:w="1980"/>
        <w:gridCol w:w="2070"/>
        <w:gridCol w:w="2160"/>
        <w:gridCol w:w="2070"/>
        <w:gridCol w:w="1980"/>
      </w:tblGrid>
      <w:tr w:rsidR="005B3FC8" w:rsidRPr="001E7D91" w14:paraId="0CE881CE" w14:textId="77777777" w:rsidTr="006C2A43">
        <w:trPr>
          <w:jc w:val="center"/>
        </w:trPr>
        <w:tc>
          <w:tcPr>
            <w:tcW w:w="13225" w:type="dxa"/>
            <w:gridSpan w:val="6"/>
            <w:shd w:val="clear" w:color="auto" w:fill="FFF2CC" w:themeFill="accent4" w:themeFillTint="33"/>
            <w:vAlign w:val="center"/>
          </w:tcPr>
          <w:p w14:paraId="6B7F478B" w14:textId="3485EBB9" w:rsidR="005B3FC8" w:rsidRPr="002B68BC" w:rsidRDefault="005B3FC8" w:rsidP="002B68BC">
            <w:pPr>
              <w:rPr>
                <w:b/>
                <w:bCs/>
                <w:szCs w:val="20"/>
              </w:rPr>
            </w:pPr>
            <w:r w:rsidRPr="00461A41">
              <w:rPr>
                <w:rFonts w:eastAsia="Times New Roman"/>
                <w:b/>
                <w:color w:val="000000" w:themeColor="text1"/>
                <w:szCs w:val="20"/>
                <w:lang w:eastAsia="en-GB"/>
              </w:rPr>
              <w:t xml:space="preserve">Outcome </w:t>
            </w:r>
            <w:r>
              <w:rPr>
                <w:rFonts w:eastAsia="Times New Roman"/>
                <w:b/>
                <w:color w:val="000000" w:themeColor="text1"/>
                <w:szCs w:val="20"/>
                <w:lang w:eastAsia="en-GB"/>
              </w:rPr>
              <w:t>3</w:t>
            </w:r>
            <w:r w:rsidRPr="00461A41">
              <w:rPr>
                <w:rFonts w:eastAsia="Times New Roman"/>
                <w:b/>
                <w:color w:val="000000" w:themeColor="text1"/>
                <w:szCs w:val="20"/>
                <w:lang w:eastAsia="en-GB"/>
              </w:rPr>
              <w:t>.</w:t>
            </w:r>
            <w:r w:rsidR="002B68BC">
              <w:rPr>
                <w:rFonts w:eastAsia="Times New Roman"/>
                <w:b/>
                <w:color w:val="000000" w:themeColor="text1"/>
                <w:szCs w:val="20"/>
                <w:lang w:eastAsia="en-GB"/>
              </w:rPr>
              <w:t xml:space="preserve"> </w:t>
            </w:r>
            <w:r w:rsidR="002B68BC" w:rsidRPr="005E36D2">
              <w:rPr>
                <w:b/>
                <w:bCs/>
                <w:szCs w:val="20"/>
              </w:rPr>
              <w:t>Integrated National Financing Framework (INFF) architecture strengthened, including improved monitoring of financing impact.</w:t>
            </w:r>
          </w:p>
        </w:tc>
      </w:tr>
      <w:tr w:rsidR="005B3FC8" w:rsidRPr="001E7D91" w14:paraId="3CAB4FF9" w14:textId="77777777" w:rsidTr="006C2A43">
        <w:trPr>
          <w:jc w:val="center"/>
        </w:trPr>
        <w:tc>
          <w:tcPr>
            <w:tcW w:w="2965" w:type="dxa"/>
            <w:vAlign w:val="center"/>
          </w:tcPr>
          <w:p w14:paraId="4EC87B4D" w14:textId="77777777" w:rsidR="005B3FC8" w:rsidRPr="001E7D91" w:rsidRDefault="005B3FC8" w:rsidP="006C2A43">
            <w:pPr>
              <w:rPr>
                <w:rFonts w:eastAsia="Times New Roman"/>
                <w:color w:val="000000" w:themeColor="text1"/>
                <w:szCs w:val="20"/>
                <w:lang w:eastAsia="en-GB"/>
              </w:rPr>
            </w:pPr>
            <w:r w:rsidRPr="00461A41">
              <w:rPr>
                <w:rFonts w:eastAsia="Times New Roman"/>
                <w:b/>
                <w:color w:val="000000" w:themeColor="text1"/>
                <w:szCs w:val="20"/>
                <w:lang w:eastAsia="en-GB"/>
              </w:rPr>
              <w:lastRenderedPageBreak/>
              <w:t xml:space="preserve">Outcome </w:t>
            </w:r>
            <w:r>
              <w:rPr>
                <w:rFonts w:eastAsia="Times New Roman"/>
                <w:b/>
                <w:color w:val="000000" w:themeColor="text1"/>
                <w:szCs w:val="20"/>
                <w:lang w:eastAsia="en-GB"/>
              </w:rPr>
              <w:t>3</w:t>
            </w:r>
            <w:r w:rsidRPr="00461A41">
              <w:rPr>
                <w:rFonts w:eastAsia="Times New Roman"/>
                <w:b/>
                <w:color w:val="000000" w:themeColor="text1"/>
                <w:szCs w:val="20"/>
                <w:lang w:eastAsia="en-GB"/>
              </w:rPr>
              <w:t xml:space="preserve"> </w:t>
            </w:r>
            <w:r>
              <w:rPr>
                <w:rFonts w:eastAsia="Times New Roman"/>
                <w:b/>
                <w:color w:val="000000" w:themeColor="text1"/>
                <w:szCs w:val="20"/>
                <w:lang w:eastAsia="en-GB"/>
              </w:rPr>
              <w:t>i</w:t>
            </w:r>
            <w:r w:rsidRPr="00461A41">
              <w:rPr>
                <w:rFonts w:eastAsia="Times New Roman"/>
                <w:b/>
                <w:color w:val="000000" w:themeColor="text1"/>
                <w:szCs w:val="20"/>
                <w:lang w:eastAsia="en-GB"/>
              </w:rPr>
              <w:t>ndicator</w:t>
            </w:r>
            <w:r>
              <w:rPr>
                <w:rFonts w:eastAsia="Times New Roman"/>
                <w:b/>
                <w:color w:val="000000" w:themeColor="text1"/>
                <w:szCs w:val="20"/>
                <w:lang w:eastAsia="en-GB"/>
              </w:rPr>
              <w:t xml:space="preserve"> 1</w:t>
            </w:r>
            <w:r w:rsidRPr="00461A41">
              <w:rPr>
                <w:rFonts w:eastAsia="Times New Roman"/>
                <w:b/>
                <w:color w:val="000000" w:themeColor="text1"/>
                <w:szCs w:val="20"/>
                <w:lang w:eastAsia="en-GB"/>
              </w:rPr>
              <w:t>:</w:t>
            </w:r>
            <w:r w:rsidRPr="001E7D91">
              <w:rPr>
                <w:rFonts w:eastAsia="Times New Roman"/>
                <w:color w:val="000000" w:themeColor="text1"/>
                <w:szCs w:val="20"/>
                <w:lang w:eastAsia="en-GB"/>
              </w:rPr>
              <w:t xml:space="preserve"> </w:t>
            </w:r>
            <w:r w:rsidRPr="00253A7F">
              <w:rPr>
                <w:rFonts w:cstheme="majorHAnsi"/>
                <w:iCs/>
                <w:szCs w:val="20"/>
              </w:rPr>
              <w:t>Core institutional arrangements for oversight, coordination and monitoring of the INFF</w:t>
            </w:r>
          </w:p>
        </w:tc>
        <w:tc>
          <w:tcPr>
            <w:tcW w:w="1980" w:type="dxa"/>
            <w:vAlign w:val="center"/>
          </w:tcPr>
          <w:p w14:paraId="7C2F0D0A" w14:textId="77777777" w:rsidR="005B3FC8" w:rsidRPr="00A97E61" w:rsidRDefault="005B3FC8" w:rsidP="006C2A43">
            <w:pPr>
              <w:jc w:val="center"/>
              <w:rPr>
                <w:rFonts w:eastAsia="Times New Roman"/>
                <w:color w:val="000000" w:themeColor="text1"/>
                <w:szCs w:val="20"/>
                <w:lang w:eastAsia="en-GB"/>
              </w:rPr>
            </w:pPr>
            <w:r>
              <w:rPr>
                <w:rFonts w:eastAsia="Times New Roman"/>
                <w:color w:val="000000" w:themeColor="text1"/>
                <w:szCs w:val="20"/>
                <w:lang w:eastAsia="en-GB"/>
              </w:rPr>
              <w:t>DFA/INFF Oversight Team</w:t>
            </w:r>
            <w:r w:rsidRPr="00042BCF">
              <w:rPr>
                <w:rFonts w:eastAsia="Times New Roman"/>
                <w:color w:val="000000" w:themeColor="text1"/>
                <w:szCs w:val="20"/>
                <w:lang w:eastAsia="en-GB"/>
              </w:rPr>
              <w:t xml:space="preserve"> was established, but no function for the INFF oversight</w:t>
            </w:r>
            <w:r>
              <w:rPr>
                <w:rFonts w:eastAsia="Times New Roman"/>
                <w:color w:val="000000" w:themeColor="text1"/>
                <w:szCs w:val="20"/>
                <w:lang w:eastAsia="en-GB"/>
              </w:rPr>
              <w:t xml:space="preserve"> as yet</w:t>
            </w:r>
            <w:r w:rsidRPr="00042BCF">
              <w:rPr>
                <w:rFonts w:eastAsia="Times New Roman"/>
                <w:color w:val="000000" w:themeColor="text1"/>
                <w:szCs w:val="20"/>
                <w:lang w:eastAsia="en-GB"/>
              </w:rPr>
              <w:t>.</w:t>
            </w:r>
          </w:p>
        </w:tc>
        <w:tc>
          <w:tcPr>
            <w:tcW w:w="2070" w:type="dxa"/>
            <w:vAlign w:val="center"/>
          </w:tcPr>
          <w:p w14:paraId="34143132" w14:textId="77777777" w:rsidR="005B3FC8" w:rsidRPr="00A97E61" w:rsidRDefault="005B3FC8" w:rsidP="006C2A43">
            <w:pPr>
              <w:jc w:val="center"/>
              <w:rPr>
                <w:rFonts w:eastAsia="Times New Roman"/>
                <w:color w:val="000000" w:themeColor="text1"/>
                <w:szCs w:val="20"/>
                <w:lang w:eastAsia="en-GB"/>
              </w:rPr>
            </w:pPr>
            <w:r w:rsidRPr="00042BCF">
              <w:rPr>
                <w:rFonts w:eastAsia="Times New Roman"/>
                <w:color w:val="000000" w:themeColor="text1"/>
                <w:szCs w:val="20"/>
                <w:lang w:eastAsia="en-GB"/>
              </w:rPr>
              <w:t>Institutional arrangements for oversight and coordination over the INFF are set</w:t>
            </w:r>
            <w:r>
              <w:rPr>
                <w:rFonts w:eastAsia="Times New Roman"/>
                <w:color w:val="000000" w:themeColor="text1"/>
                <w:szCs w:val="20"/>
                <w:lang w:eastAsia="en-GB"/>
              </w:rPr>
              <w:t xml:space="preserve"> </w:t>
            </w:r>
            <w:r w:rsidRPr="00042BCF">
              <w:rPr>
                <w:rFonts w:eastAsia="Times New Roman"/>
                <w:color w:val="000000" w:themeColor="text1"/>
                <w:szCs w:val="20"/>
                <w:lang w:eastAsia="en-GB"/>
              </w:rPr>
              <w:t>up</w:t>
            </w:r>
          </w:p>
        </w:tc>
        <w:tc>
          <w:tcPr>
            <w:tcW w:w="2160" w:type="dxa"/>
            <w:vAlign w:val="center"/>
          </w:tcPr>
          <w:p w14:paraId="05B008AF" w14:textId="77777777" w:rsidR="005B3FC8" w:rsidRPr="00A97E61" w:rsidRDefault="005B3FC8" w:rsidP="006C2A43">
            <w:pPr>
              <w:jc w:val="center"/>
              <w:rPr>
                <w:rFonts w:eastAsia="Times New Roman"/>
                <w:color w:val="000000" w:themeColor="text1"/>
                <w:szCs w:val="20"/>
                <w:lang w:eastAsia="en-GB"/>
              </w:rPr>
            </w:pPr>
            <w:r w:rsidRPr="00042BCF">
              <w:rPr>
                <w:rFonts w:eastAsia="Times New Roman"/>
                <w:color w:val="000000" w:themeColor="text1"/>
                <w:szCs w:val="20"/>
                <w:lang w:eastAsia="en-GB"/>
              </w:rPr>
              <w:t>Annual monitoring report on INNF is produced</w:t>
            </w:r>
          </w:p>
        </w:tc>
        <w:tc>
          <w:tcPr>
            <w:tcW w:w="2070" w:type="dxa"/>
            <w:vAlign w:val="center"/>
          </w:tcPr>
          <w:p w14:paraId="4D49D9EB" w14:textId="77777777" w:rsidR="005B3FC8" w:rsidRPr="00A97E61" w:rsidRDefault="005B3FC8" w:rsidP="006C2A43">
            <w:pPr>
              <w:rPr>
                <w:rFonts w:eastAsia="Times New Roman"/>
                <w:color w:val="000000" w:themeColor="text1"/>
                <w:szCs w:val="20"/>
                <w:lang w:eastAsia="en-GB"/>
              </w:rPr>
            </w:pPr>
            <w:r w:rsidRPr="00042BCF">
              <w:rPr>
                <w:rFonts w:eastAsia="Times New Roman"/>
                <w:color w:val="000000" w:themeColor="text1"/>
                <w:szCs w:val="20"/>
                <w:lang w:eastAsia="en-GB"/>
              </w:rPr>
              <w:t>Joint Programme Report</w:t>
            </w:r>
          </w:p>
        </w:tc>
        <w:tc>
          <w:tcPr>
            <w:tcW w:w="1980" w:type="dxa"/>
            <w:vAlign w:val="center"/>
          </w:tcPr>
          <w:p w14:paraId="2539FCFE" w14:textId="77777777" w:rsidR="005B3FC8" w:rsidRPr="00A97E61" w:rsidRDefault="005B3FC8" w:rsidP="006C2A43">
            <w:pPr>
              <w:rPr>
                <w:rFonts w:eastAsia="Times New Roman"/>
                <w:color w:val="000000" w:themeColor="text1"/>
                <w:szCs w:val="20"/>
                <w:lang w:eastAsia="en-GB"/>
              </w:rPr>
            </w:pPr>
            <w:r>
              <w:rPr>
                <w:rFonts w:eastAsia="Times New Roman"/>
                <w:color w:val="000000" w:themeColor="text1"/>
                <w:szCs w:val="20"/>
                <w:lang w:eastAsia="en-GB"/>
              </w:rPr>
              <w:t xml:space="preserve">Representing bodies of the </w:t>
            </w:r>
            <w:r w:rsidRPr="00253A7F">
              <w:rPr>
                <w:rFonts w:eastAsia="Times New Roman"/>
                <w:color w:val="000000" w:themeColor="text1"/>
                <w:szCs w:val="20"/>
                <w:lang w:eastAsia="en-GB"/>
              </w:rPr>
              <w:t>INFF oversight committee</w:t>
            </w:r>
            <w:r>
              <w:rPr>
                <w:rFonts w:eastAsia="Times New Roman"/>
                <w:color w:val="000000" w:themeColor="text1"/>
                <w:szCs w:val="20"/>
                <w:lang w:eastAsia="en-GB"/>
              </w:rPr>
              <w:t>, UNDP and UNICEF</w:t>
            </w:r>
          </w:p>
        </w:tc>
      </w:tr>
      <w:tr w:rsidR="005B3FC8" w:rsidRPr="00461A41" w14:paraId="7D4A284B" w14:textId="77777777" w:rsidTr="006C2A43">
        <w:trPr>
          <w:jc w:val="center"/>
        </w:trPr>
        <w:tc>
          <w:tcPr>
            <w:tcW w:w="13225" w:type="dxa"/>
            <w:gridSpan w:val="6"/>
            <w:shd w:val="clear" w:color="auto" w:fill="EDEDED" w:themeFill="accent3" w:themeFillTint="33"/>
            <w:vAlign w:val="center"/>
          </w:tcPr>
          <w:p w14:paraId="1327EA09" w14:textId="77777777" w:rsidR="005B3FC8" w:rsidRPr="00461A41" w:rsidRDefault="005B3FC8" w:rsidP="006C2A43">
            <w:pPr>
              <w:rPr>
                <w:rFonts w:eastAsia="Times New Roman"/>
                <w:b/>
                <w:color w:val="000000" w:themeColor="text1"/>
                <w:szCs w:val="20"/>
                <w:lang w:eastAsia="en-GB"/>
              </w:rPr>
            </w:pPr>
            <w:r w:rsidRPr="00461A41">
              <w:rPr>
                <w:rFonts w:eastAsia="Times New Roman"/>
                <w:b/>
                <w:color w:val="000000" w:themeColor="text1"/>
                <w:szCs w:val="20"/>
                <w:lang w:eastAsia="en-GB"/>
              </w:rPr>
              <w:t xml:space="preserve">Output </w:t>
            </w:r>
            <w:r>
              <w:rPr>
                <w:rFonts w:eastAsia="Times New Roman"/>
                <w:b/>
                <w:color w:val="000000" w:themeColor="text1"/>
                <w:szCs w:val="20"/>
                <w:lang w:eastAsia="en-GB"/>
              </w:rPr>
              <w:t>3</w:t>
            </w:r>
            <w:r w:rsidRPr="00461A41">
              <w:rPr>
                <w:rFonts w:eastAsia="Times New Roman"/>
                <w:b/>
                <w:color w:val="000000" w:themeColor="text1"/>
                <w:szCs w:val="20"/>
                <w:lang w:eastAsia="en-GB"/>
              </w:rPr>
              <w:t>.1:</w:t>
            </w:r>
            <w:r>
              <w:rPr>
                <w:rFonts w:eastAsia="Times New Roman"/>
                <w:b/>
                <w:color w:val="000000" w:themeColor="text1"/>
                <w:szCs w:val="20"/>
                <w:lang w:eastAsia="en-GB"/>
              </w:rPr>
              <w:t xml:space="preserve"> </w:t>
            </w:r>
            <w:r w:rsidRPr="006E4944">
              <w:rPr>
                <w:rFonts w:eastAsia="Times New Roman"/>
                <w:b/>
                <w:color w:val="000000" w:themeColor="text1"/>
                <w:szCs w:val="20"/>
                <w:lang w:eastAsia="en-GB"/>
              </w:rPr>
              <w:t>Design of a gender balanced full-fledged INFF oversight committee completed and the committee is functional</w:t>
            </w:r>
          </w:p>
        </w:tc>
      </w:tr>
      <w:tr w:rsidR="005B3FC8" w:rsidRPr="001E7D91" w14:paraId="208C92D2" w14:textId="77777777" w:rsidTr="006C2A43">
        <w:trPr>
          <w:jc w:val="center"/>
        </w:trPr>
        <w:tc>
          <w:tcPr>
            <w:tcW w:w="2965" w:type="dxa"/>
            <w:vAlign w:val="center"/>
          </w:tcPr>
          <w:p w14:paraId="20F8BAF6" w14:textId="77777777" w:rsidR="005B3FC8" w:rsidRPr="001E7D91" w:rsidRDefault="005B3FC8" w:rsidP="006C2A43">
            <w:pPr>
              <w:rPr>
                <w:rFonts w:eastAsia="Times New Roman"/>
                <w:color w:val="000000" w:themeColor="text1"/>
                <w:szCs w:val="20"/>
                <w:lang w:eastAsia="en-GB"/>
              </w:rPr>
            </w:pPr>
            <w:r w:rsidRPr="00461A41">
              <w:rPr>
                <w:rFonts w:eastAsia="Times New Roman"/>
                <w:b/>
                <w:color w:val="000000" w:themeColor="text1"/>
                <w:szCs w:val="20"/>
                <w:lang w:eastAsia="en-GB"/>
              </w:rPr>
              <w:t xml:space="preserve">Output </w:t>
            </w:r>
            <w:r>
              <w:rPr>
                <w:rFonts w:eastAsia="Times New Roman"/>
                <w:b/>
                <w:color w:val="000000" w:themeColor="text1"/>
                <w:szCs w:val="20"/>
                <w:lang w:eastAsia="en-GB"/>
              </w:rPr>
              <w:t>3</w:t>
            </w:r>
            <w:r w:rsidRPr="00461A41">
              <w:rPr>
                <w:rFonts w:eastAsia="Times New Roman"/>
                <w:b/>
                <w:color w:val="000000" w:themeColor="text1"/>
                <w:szCs w:val="20"/>
                <w:lang w:eastAsia="en-GB"/>
              </w:rPr>
              <w:t>.1 indicator 1:</w:t>
            </w:r>
            <w:r>
              <w:rPr>
                <w:rFonts w:eastAsia="Times New Roman"/>
                <w:color w:val="000000" w:themeColor="text1"/>
                <w:szCs w:val="20"/>
                <w:lang w:eastAsia="en-GB"/>
              </w:rPr>
              <w:t xml:space="preserve"> </w:t>
            </w:r>
            <w:r w:rsidRPr="006E1B2F">
              <w:rPr>
                <w:rFonts w:eastAsia="Times New Roman"/>
                <w:color w:val="000000" w:themeColor="text1"/>
                <w:szCs w:val="20"/>
                <w:lang w:eastAsia="en-GB"/>
              </w:rPr>
              <w:t xml:space="preserve">INFF Oversight Committee </w:t>
            </w:r>
            <w:r w:rsidRPr="002E6FC5">
              <w:rPr>
                <w:rFonts w:eastAsia="Times New Roman"/>
                <w:color w:val="000000" w:themeColor="text1"/>
                <w:szCs w:val="20"/>
                <w:lang w:val="en-GB" w:eastAsia="en-GB"/>
              </w:rPr>
              <w:t>as a coordination platform for public and private financing policies</w:t>
            </w:r>
            <w:r w:rsidRPr="002E6FC5">
              <w:rPr>
                <w:rFonts w:eastAsia="Times New Roman"/>
                <w:color w:val="000000" w:themeColor="text1"/>
                <w:szCs w:val="20"/>
                <w:lang w:eastAsia="en-GB"/>
              </w:rPr>
              <w:t xml:space="preserve"> </w:t>
            </w:r>
            <w:r>
              <w:rPr>
                <w:rFonts w:eastAsia="Times New Roman"/>
                <w:color w:val="000000" w:themeColor="text1"/>
                <w:szCs w:val="20"/>
                <w:lang w:eastAsia="en-GB"/>
              </w:rPr>
              <w:t>is established</w:t>
            </w:r>
          </w:p>
        </w:tc>
        <w:tc>
          <w:tcPr>
            <w:tcW w:w="1980" w:type="dxa"/>
            <w:vAlign w:val="center"/>
          </w:tcPr>
          <w:p w14:paraId="012930A2" w14:textId="77777777" w:rsidR="005B3FC8" w:rsidRPr="001E7D91" w:rsidRDefault="005B3FC8" w:rsidP="006C2A43">
            <w:pPr>
              <w:jc w:val="center"/>
              <w:rPr>
                <w:rFonts w:eastAsia="Times New Roman"/>
                <w:color w:val="000000" w:themeColor="text1"/>
                <w:szCs w:val="20"/>
                <w:lang w:eastAsia="en-GB"/>
              </w:rPr>
            </w:pPr>
            <w:r>
              <w:rPr>
                <w:rFonts w:eastAsia="Times New Roman"/>
                <w:color w:val="000000" w:themeColor="text1"/>
                <w:szCs w:val="20"/>
                <w:lang w:eastAsia="en-GB"/>
              </w:rPr>
              <w:t>E</w:t>
            </w:r>
            <w:r w:rsidRPr="00A97E61">
              <w:rPr>
                <w:rFonts w:eastAsia="Times New Roman"/>
                <w:color w:val="000000" w:themeColor="text1"/>
                <w:szCs w:val="20"/>
                <w:lang w:eastAsia="en-GB"/>
              </w:rPr>
              <w:t xml:space="preserve">xisting DFA/INFF </w:t>
            </w:r>
            <w:r>
              <w:rPr>
                <w:rFonts w:eastAsia="Times New Roman"/>
                <w:color w:val="000000" w:themeColor="text1"/>
                <w:szCs w:val="20"/>
                <w:lang w:eastAsia="en-GB"/>
              </w:rPr>
              <w:t>O</w:t>
            </w:r>
            <w:r w:rsidRPr="00A97E61">
              <w:rPr>
                <w:rFonts w:eastAsia="Times New Roman"/>
                <w:color w:val="000000" w:themeColor="text1"/>
                <w:szCs w:val="20"/>
                <w:lang w:eastAsia="en-GB"/>
              </w:rPr>
              <w:t xml:space="preserve">versight </w:t>
            </w:r>
            <w:r>
              <w:rPr>
                <w:rFonts w:eastAsia="Times New Roman"/>
                <w:color w:val="000000" w:themeColor="text1"/>
                <w:szCs w:val="20"/>
                <w:lang w:eastAsia="en-GB"/>
              </w:rPr>
              <w:t>T</w:t>
            </w:r>
            <w:r w:rsidRPr="00A97E61">
              <w:rPr>
                <w:rFonts w:eastAsia="Times New Roman"/>
                <w:color w:val="000000" w:themeColor="text1"/>
                <w:szCs w:val="20"/>
                <w:lang w:eastAsia="en-GB"/>
              </w:rPr>
              <w:t>eam</w:t>
            </w:r>
            <w:r>
              <w:rPr>
                <w:rFonts w:eastAsia="Times New Roman"/>
                <w:color w:val="000000" w:themeColor="text1"/>
                <w:szCs w:val="20"/>
                <w:lang w:eastAsia="en-GB"/>
              </w:rPr>
              <w:t xml:space="preserve"> leads the implementation of the DFA</w:t>
            </w:r>
          </w:p>
        </w:tc>
        <w:tc>
          <w:tcPr>
            <w:tcW w:w="2070" w:type="dxa"/>
            <w:vAlign w:val="center"/>
          </w:tcPr>
          <w:p w14:paraId="243B7259" w14:textId="77777777" w:rsidR="005B3FC8" w:rsidRDefault="005B3FC8" w:rsidP="006C2A43">
            <w:pPr>
              <w:jc w:val="center"/>
              <w:rPr>
                <w:rFonts w:eastAsia="Times New Roman"/>
                <w:color w:val="000000" w:themeColor="text1"/>
                <w:szCs w:val="20"/>
                <w:lang w:eastAsia="en-GB"/>
              </w:rPr>
            </w:pPr>
            <w:r>
              <w:rPr>
                <w:rFonts w:eastAsia="Times New Roman"/>
                <w:color w:val="000000" w:themeColor="text1"/>
                <w:szCs w:val="20"/>
                <w:lang w:eastAsia="en-GB"/>
              </w:rPr>
              <w:t xml:space="preserve">INFF Oversight Committee </w:t>
            </w:r>
            <w:r w:rsidRPr="00042BCF">
              <w:rPr>
                <w:rFonts w:eastAsia="Times New Roman"/>
                <w:color w:val="000000" w:themeColor="text1"/>
                <w:szCs w:val="20"/>
                <w:lang w:eastAsia="en-GB"/>
              </w:rPr>
              <w:t xml:space="preserve">composition is </w:t>
            </w:r>
            <w:r>
              <w:rPr>
                <w:rFonts w:eastAsia="Times New Roman"/>
                <w:color w:val="000000" w:themeColor="text1"/>
                <w:szCs w:val="20"/>
                <w:lang w:eastAsia="en-GB"/>
              </w:rPr>
              <w:t>expanded</w:t>
            </w:r>
            <w:r w:rsidRPr="00042BCF">
              <w:rPr>
                <w:rFonts w:eastAsia="Times New Roman"/>
                <w:color w:val="000000" w:themeColor="text1"/>
                <w:szCs w:val="20"/>
                <w:lang w:eastAsia="en-GB"/>
              </w:rPr>
              <w:t xml:space="preserve">; </w:t>
            </w:r>
          </w:p>
          <w:p w14:paraId="179E7C5B" w14:textId="77777777" w:rsidR="005B3FC8" w:rsidRPr="00676122" w:rsidRDefault="005B3FC8" w:rsidP="006C2A43">
            <w:pPr>
              <w:jc w:val="center"/>
              <w:rPr>
                <w:rFonts w:eastAsia="Times New Roman"/>
                <w:color w:val="000000" w:themeColor="text1"/>
                <w:szCs w:val="20"/>
                <w:lang w:eastAsia="en-GB"/>
              </w:rPr>
            </w:pPr>
            <w:r w:rsidRPr="00042BCF">
              <w:rPr>
                <w:rFonts w:eastAsia="Times New Roman"/>
                <w:color w:val="000000" w:themeColor="text1"/>
                <w:szCs w:val="20"/>
                <w:lang w:eastAsia="en-GB"/>
              </w:rPr>
              <w:t xml:space="preserve">its mandate </w:t>
            </w:r>
            <w:r>
              <w:rPr>
                <w:rFonts w:eastAsia="Times New Roman"/>
                <w:color w:val="000000" w:themeColor="text1"/>
                <w:szCs w:val="20"/>
                <w:lang w:eastAsia="en-GB"/>
              </w:rPr>
              <w:t xml:space="preserve">is </w:t>
            </w:r>
            <w:r w:rsidRPr="006E1B2F">
              <w:rPr>
                <w:rFonts w:eastAsia="Times New Roman"/>
                <w:color w:val="000000" w:themeColor="text1"/>
                <w:szCs w:val="20"/>
                <w:lang w:eastAsia="en-GB"/>
              </w:rPr>
              <w:t>design</w:t>
            </w:r>
            <w:r>
              <w:rPr>
                <w:rFonts w:eastAsia="Times New Roman"/>
                <w:color w:val="000000" w:themeColor="text1"/>
                <w:szCs w:val="20"/>
                <w:lang w:eastAsia="en-GB"/>
              </w:rPr>
              <w:t>ed</w:t>
            </w:r>
            <w:r w:rsidRPr="006E1B2F">
              <w:rPr>
                <w:rFonts w:eastAsia="Times New Roman"/>
                <w:color w:val="000000" w:themeColor="text1"/>
                <w:szCs w:val="20"/>
                <w:lang w:eastAsia="en-GB"/>
              </w:rPr>
              <w:t xml:space="preserve"> </w:t>
            </w:r>
          </w:p>
        </w:tc>
        <w:tc>
          <w:tcPr>
            <w:tcW w:w="2160" w:type="dxa"/>
            <w:vAlign w:val="center"/>
          </w:tcPr>
          <w:p w14:paraId="36155AA1" w14:textId="77777777" w:rsidR="005B3FC8" w:rsidRPr="00676122" w:rsidRDefault="005B3FC8" w:rsidP="006C2A43">
            <w:pPr>
              <w:jc w:val="center"/>
              <w:rPr>
                <w:rFonts w:eastAsia="Times New Roman"/>
                <w:color w:val="000000" w:themeColor="text1"/>
                <w:szCs w:val="20"/>
                <w:lang w:eastAsia="en-GB"/>
              </w:rPr>
            </w:pPr>
            <w:r w:rsidRPr="00442CC3">
              <w:rPr>
                <w:rFonts w:eastAsia="Times New Roman"/>
                <w:color w:val="000000" w:themeColor="text1"/>
                <w:szCs w:val="20"/>
                <w:lang w:eastAsia="en-GB"/>
              </w:rPr>
              <w:t>INFF</w:t>
            </w:r>
            <w:r>
              <w:rPr>
                <w:rFonts w:eastAsia="Times New Roman"/>
                <w:color w:val="000000" w:themeColor="text1"/>
                <w:szCs w:val="20"/>
                <w:lang w:eastAsia="en-GB"/>
              </w:rPr>
              <w:t xml:space="preserve"> Oversight Committee</w:t>
            </w:r>
            <w:r w:rsidRPr="00442CC3">
              <w:rPr>
                <w:rFonts w:eastAsia="Times New Roman"/>
                <w:color w:val="000000" w:themeColor="text1"/>
                <w:szCs w:val="20"/>
                <w:lang w:eastAsia="en-GB"/>
              </w:rPr>
              <w:t xml:space="preserve"> </w:t>
            </w:r>
            <w:r>
              <w:rPr>
                <w:rFonts w:eastAsia="Times New Roman"/>
                <w:color w:val="000000" w:themeColor="text1"/>
                <w:szCs w:val="20"/>
                <w:lang w:eastAsia="en-GB"/>
              </w:rPr>
              <w:t>is</w:t>
            </w:r>
            <w:r w:rsidRPr="00442CC3">
              <w:rPr>
                <w:rFonts w:eastAsia="Times New Roman"/>
                <w:color w:val="000000" w:themeColor="text1"/>
                <w:szCs w:val="20"/>
                <w:lang w:eastAsia="en-GB"/>
              </w:rPr>
              <w:t xml:space="preserve"> operational</w:t>
            </w:r>
          </w:p>
        </w:tc>
        <w:tc>
          <w:tcPr>
            <w:tcW w:w="2070" w:type="dxa"/>
            <w:vAlign w:val="center"/>
          </w:tcPr>
          <w:p w14:paraId="6C42B115" w14:textId="77777777" w:rsidR="005B3FC8" w:rsidRPr="002E6FC5" w:rsidRDefault="005B3FC8" w:rsidP="006C2A43">
            <w:pPr>
              <w:rPr>
                <w:rFonts w:eastAsia="Times New Roman"/>
                <w:color w:val="000000" w:themeColor="text1"/>
                <w:szCs w:val="20"/>
                <w:lang w:eastAsia="en-GB"/>
              </w:rPr>
            </w:pPr>
            <w:r w:rsidRPr="002E6FC5">
              <w:rPr>
                <w:rFonts w:eastAsia="Times New Roman"/>
                <w:color w:val="000000" w:themeColor="text1"/>
                <w:szCs w:val="20"/>
                <w:lang w:val="id-ID" w:eastAsia="en-GB"/>
              </w:rPr>
              <w:t xml:space="preserve">Design framework and operational guideline of </w:t>
            </w:r>
            <w:r>
              <w:rPr>
                <w:rFonts w:eastAsia="Times New Roman"/>
                <w:color w:val="000000" w:themeColor="text1"/>
                <w:szCs w:val="20"/>
                <w:lang w:eastAsia="en-GB"/>
              </w:rPr>
              <w:t>INFF Oversight Committee</w:t>
            </w:r>
          </w:p>
        </w:tc>
        <w:tc>
          <w:tcPr>
            <w:tcW w:w="1980" w:type="dxa"/>
            <w:vAlign w:val="center"/>
          </w:tcPr>
          <w:p w14:paraId="55906C03" w14:textId="77777777" w:rsidR="005B3FC8" w:rsidRPr="00676122" w:rsidRDefault="005B3FC8" w:rsidP="006C2A43">
            <w:pPr>
              <w:rPr>
                <w:rFonts w:eastAsia="Times New Roman"/>
                <w:color w:val="000000" w:themeColor="text1"/>
                <w:szCs w:val="20"/>
                <w:lang w:eastAsia="en-GB"/>
              </w:rPr>
            </w:pPr>
            <w:r>
              <w:rPr>
                <w:rFonts w:eastAsia="Times New Roman"/>
                <w:color w:val="000000" w:themeColor="text1"/>
                <w:szCs w:val="20"/>
                <w:lang w:eastAsia="en-GB"/>
              </w:rPr>
              <w:t xml:space="preserve">Representing bodies of the </w:t>
            </w:r>
            <w:r w:rsidRPr="00253A7F">
              <w:rPr>
                <w:rFonts w:eastAsia="Times New Roman"/>
                <w:color w:val="000000" w:themeColor="text1"/>
                <w:szCs w:val="20"/>
                <w:lang w:eastAsia="en-GB"/>
              </w:rPr>
              <w:t>INFF oversight committee</w:t>
            </w:r>
            <w:r>
              <w:rPr>
                <w:rFonts w:eastAsia="Times New Roman"/>
                <w:color w:val="000000" w:themeColor="text1"/>
                <w:szCs w:val="20"/>
                <w:lang w:eastAsia="en-GB"/>
              </w:rPr>
              <w:t xml:space="preserve">, </w:t>
            </w:r>
            <w:r w:rsidRPr="00042BCF">
              <w:rPr>
                <w:rFonts w:eastAsia="Times New Roman"/>
                <w:color w:val="000000" w:themeColor="text1"/>
                <w:szCs w:val="20"/>
                <w:lang w:eastAsia="en-GB"/>
              </w:rPr>
              <w:t>UNDP</w:t>
            </w:r>
          </w:p>
        </w:tc>
      </w:tr>
      <w:tr w:rsidR="005B3FC8" w:rsidRPr="001E7D91" w14:paraId="1ABAC703" w14:textId="77777777" w:rsidTr="006C2A43">
        <w:trPr>
          <w:jc w:val="center"/>
        </w:trPr>
        <w:tc>
          <w:tcPr>
            <w:tcW w:w="2965" w:type="dxa"/>
            <w:vAlign w:val="center"/>
          </w:tcPr>
          <w:p w14:paraId="4BE95310" w14:textId="77777777" w:rsidR="005B3FC8" w:rsidRPr="00461A41" w:rsidRDefault="005B3FC8" w:rsidP="006C2A43">
            <w:pPr>
              <w:rPr>
                <w:rFonts w:eastAsia="Times New Roman"/>
                <w:b/>
                <w:color w:val="000000" w:themeColor="text1"/>
                <w:szCs w:val="20"/>
                <w:lang w:eastAsia="en-GB"/>
              </w:rPr>
            </w:pPr>
            <w:r w:rsidRPr="002E6FC5">
              <w:rPr>
                <w:rFonts w:eastAsia="Times New Roman"/>
                <w:b/>
                <w:color w:val="000000" w:themeColor="text1"/>
                <w:szCs w:val="20"/>
                <w:lang w:eastAsia="en-GB"/>
              </w:rPr>
              <w:t xml:space="preserve">Output </w:t>
            </w:r>
            <w:r>
              <w:rPr>
                <w:rFonts w:eastAsia="Times New Roman"/>
                <w:b/>
                <w:color w:val="000000" w:themeColor="text1"/>
                <w:szCs w:val="20"/>
                <w:lang w:eastAsia="en-GB"/>
              </w:rPr>
              <w:t>3</w:t>
            </w:r>
            <w:r w:rsidRPr="002E6FC5">
              <w:rPr>
                <w:rFonts w:eastAsia="Times New Roman"/>
                <w:b/>
                <w:color w:val="000000" w:themeColor="text1"/>
                <w:szCs w:val="20"/>
                <w:lang w:eastAsia="en-GB"/>
              </w:rPr>
              <w:t>.1 indicator</w:t>
            </w:r>
            <w:r>
              <w:rPr>
                <w:rFonts w:eastAsia="Times New Roman"/>
                <w:b/>
                <w:color w:val="000000" w:themeColor="text1"/>
                <w:szCs w:val="20"/>
                <w:lang w:eastAsia="en-GB"/>
              </w:rPr>
              <w:t xml:space="preserve"> 2</w:t>
            </w:r>
            <w:r w:rsidRPr="002E6FC5">
              <w:rPr>
                <w:rFonts w:eastAsia="Times New Roman"/>
                <w:b/>
                <w:color w:val="000000" w:themeColor="text1"/>
                <w:szCs w:val="20"/>
                <w:lang w:eastAsia="en-GB"/>
              </w:rPr>
              <w:t xml:space="preserve">: </w:t>
            </w:r>
            <w:r w:rsidRPr="002E6FC5">
              <w:rPr>
                <w:rFonts w:eastAsia="Times New Roman"/>
                <w:b/>
                <w:color w:val="000000" w:themeColor="text1"/>
                <w:szCs w:val="20"/>
                <w:lang w:val="id-ID" w:eastAsia="en-GB"/>
              </w:rPr>
              <w:t xml:space="preserve"># </w:t>
            </w:r>
            <w:r w:rsidRPr="00042BCF">
              <w:rPr>
                <w:rFonts w:eastAsia="Times New Roman"/>
                <w:color w:val="000000" w:themeColor="text1"/>
                <w:szCs w:val="20"/>
                <w:lang w:val="id-ID" w:eastAsia="en-GB"/>
              </w:rPr>
              <w:t xml:space="preserve">of </w:t>
            </w:r>
            <w:r w:rsidRPr="00042BCF">
              <w:rPr>
                <w:rFonts w:eastAsia="Times New Roman"/>
                <w:color w:val="000000" w:themeColor="text1"/>
                <w:szCs w:val="20"/>
                <w:lang w:eastAsia="en-GB"/>
              </w:rPr>
              <w:t xml:space="preserve">INFF financing policy dialogue roundtables among key policymakers and private sector stakeholders led by the </w:t>
            </w:r>
            <w:r>
              <w:rPr>
                <w:rFonts w:eastAsia="Times New Roman"/>
                <w:color w:val="000000" w:themeColor="text1"/>
                <w:szCs w:val="20"/>
                <w:lang w:eastAsia="en-GB"/>
              </w:rPr>
              <w:t>INFF Oversight Committee</w:t>
            </w:r>
          </w:p>
        </w:tc>
        <w:tc>
          <w:tcPr>
            <w:tcW w:w="1980" w:type="dxa"/>
            <w:vAlign w:val="center"/>
          </w:tcPr>
          <w:p w14:paraId="51245F4F" w14:textId="77777777" w:rsidR="005B3FC8" w:rsidRPr="002E6FC5" w:rsidRDefault="005B3FC8" w:rsidP="006C2A43">
            <w:pPr>
              <w:jc w:val="center"/>
              <w:rPr>
                <w:rFonts w:eastAsia="Times New Roman"/>
                <w:color w:val="000000" w:themeColor="text1"/>
                <w:szCs w:val="20"/>
                <w:lang w:eastAsia="en-GB"/>
              </w:rPr>
            </w:pPr>
            <w:r w:rsidRPr="00042BCF">
              <w:rPr>
                <w:rFonts w:eastAsia="Times New Roman"/>
                <w:color w:val="000000" w:themeColor="text1"/>
                <w:szCs w:val="20"/>
                <w:lang w:eastAsia="en-GB"/>
              </w:rPr>
              <w:t>0</w:t>
            </w:r>
          </w:p>
        </w:tc>
        <w:tc>
          <w:tcPr>
            <w:tcW w:w="2070" w:type="dxa"/>
            <w:vAlign w:val="center"/>
          </w:tcPr>
          <w:p w14:paraId="7B693303" w14:textId="77777777" w:rsidR="005B3FC8" w:rsidRPr="00442CC3" w:rsidRDefault="005B3FC8" w:rsidP="006C2A43">
            <w:pPr>
              <w:jc w:val="center"/>
              <w:rPr>
                <w:rFonts w:eastAsia="Times New Roman"/>
                <w:color w:val="000000" w:themeColor="text1"/>
                <w:szCs w:val="20"/>
                <w:lang w:eastAsia="en-GB"/>
              </w:rPr>
            </w:pPr>
            <w:r w:rsidRPr="00042BCF">
              <w:rPr>
                <w:rFonts w:eastAsia="Times New Roman"/>
                <w:color w:val="000000" w:themeColor="text1"/>
                <w:szCs w:val="20"/>
                <w:lang w:eastAsia="en-GB"/>
              </w:rPr>
              <w:t>1</w:t>
            </w:r>
          </w:p>
        </w:tc>
        <w:tc>
          <w:tcPr>
            <w:tcW w:w="2160" w:type="dxa"/>
            <w:vAlign w:val="center"/>
          </w:tcPr>
          <w:p w14:paraId="0DD6E7B7" w14:textId="77777777" w:rsidR="005B3FC8" w:rsidRPr="00442CC3" w:rsidRDefault="005B3FC8" w:rsidP="006C2A43">
            <w:pPr>
              <w:jc w:val="center"/>
              <w:rPr>
                <w:rFonts w:eastAsia="Times New Roman"/>
                <w:color w:val="000000" w:themeColor="text1"/>
                <w:szCs w:val="20"/>
                <w:lang w:eastAsia="en-GB"/>
              </w:rPr>
            </w:pPr>
            <w:r w:rsidRPr="00042BCF">
              <w:rPr>
                <w:rFonts w:eastAsia="Times New Roman"/>
                <w:color w:val="000000" w:themeColor="text1"/>
                <w:szCs w:val="20"/>
                <w:lang w:eastAsia="en-GB"/>
              </w:rPr>
              <w:t>3</w:t>
            </w:r>
          </w:p>
        </w:tc>
        <w:tc>
          <w:tcPr>
            <w:tcW w:w="2070" w:type="dxa"/>
          </w:tcPr>
          <w:p w14:paraId="08840112" w14:textId="77777777" w:rsidR="005B3FC8" w:rsidRDefault="005B3FC8" w:rsidP="006C2A43">
            <w:pPr>
              <w:rPr>
                <w:rFonts w:eastAsia="Times New Roman"/>
                <w:color w:val="000000" w:themeColor="text1"/>
                <w:szCs w:val="20"/>
                <w:lang w:val="id-ID" w:eastAsia="en-GB"/>
              </w:rPr>
            </w:pPr>
          </w:p>
          <w:p w14:paraId="4B29BBBF" w14:textId="77777777" w:rsidR="005B3FC8" w:rsidRDefault="005B3FC8" w:rsidP="006C2A43">
            <w:pPr>
              <w:rPr>
                <w:rFonts w:eastAsia="Times New Roman"/>
                <w:color w:val="000000" w:themeColor="text1"/>
                <w:szCs w:val="20"/>
                <w:lang w:val="id-ID" w:eastAsia="en-GB"/>
              </w:rPr>
            </w:pPr>
          </w:p>
          <w:p w14:paraId="1B146EAC" w14:textId="77777777" w:rsidR="005B3FC8" w:rsidRPr="002E6FC5" w:rsidRDefault="005B3FC8" w:rsidP="006C2A43">
            <w:pPr>
              <w:rPr>
                <w:rFonts w:eastAsia="Times New Roman"/>
                <w:color w:val="000000" w:themeColor="text1"/>
                <w:szCs w:val="20"/>
                <w:lang w:val="id-ID" w:eastAsia="en-GB"/>
              </w:rPr>
            </w:pPr>
            <w:r w:rsidRPr="00042BCF">
              <w:rPr>
                <w:rFonts w:eastAsia="Times New Roman"/>
                <w:color w:val="000000" w:themeColor="text1"/>
                <w:szCs w:val="20"/>
                <w:lang w:val="id-ID" w:eastAsia="en-GB"/>
              </w:rPr>
              <w:t>TOR/Agenda and minutes of meetings, PPTs</w:t>
            </w:r>
          </w:p>
        </w:tc>
        <w:tc>
          <w:tcPr>
            <w:tcW w:w="1980" w:type="dxa"/>
            <w:vAlign w:val="center"/>
          </w:tcPr>
          <w:p w14:paraId="79E67F9E" w14:textId="77777777" w:rsidR="005B3FC8" w:rsidRPr="00F644C0" w:rsidRDefault="005B3FC8" w:rsidP="006C2A43">
            <w:pPr>
              <w:rPr>
                <w:rFonts w:eastAsia="Times New Roman"/>
                <w:color w:val="000000" w:themeColor="text1"/>
                <w:szCs w:val="20"/>
                <w:lang w:eastAsia="en-GB"/>
              </w:rPr>
            </w:pPr>
            <w:r>
              <w:rPr>
                <w:rFonts w:eastAsia="Times New Roman"/>
                <w:color w:val="000000" w:themeColor="text1"/>
                <w:szCs w:val="20"/>
                <w:lang w:eastAsia="en-GB"/>
              </w:rPr>
              <w:t xml:space="preserve">Representing bodies of the </w:t>
            </w:r>
            <w:r w:rsidRPr="00253A7F">
              <w:rPr>
                <w:rFonts w:eastAsia="Times New Roman"/>
                <w:color w:val="000000" w:themeColor="text1"/>
                <w:szCs w:val="20"/>
                <w:lang w:eastAsia="en-GB"/>
              </w:rPr>
              <w:t>INFF oversight committee</w:t>
            </w:r>
            <w:r>
              <w:rPr>
                <w:rFonts w:eastAsia="Times New Roman"/>
                <w:color w:val="000000" w:themeColor="text1"/>
                <w:szCs w:val="20"/>
                <w:lang w:eastAsia="en-GB"/>
              </w:rPr>
              <w:t xml:space="preserve">, </w:t>
            </w:r>
            <w:r w:rsidRPr="00042BCF">
              <w:rPr>
                <w:rFonts w:eastAsia="Times New Roman"/>
                <w:color w:val="000000" w:themeColor="text1"/>
                <w:szCs w:val="20"/>
                <w:lang w:val="id-ID" w:eastAsia="en-GB"/>
              </w:rPr>
              <w:t>UNDP</w:t>
            </w:r>
            <w:r>
              <w:rPr>
                <w:rFonts w:eastAsia="Times New Roman"/>
                <w:color w:val="000000" w:themeColor="text1"/>
                <w:szCs w:val="20"/>
                <w:lang w:eastAsia="en-GB"/>
              </w:rPr>
              <w:t xml:space="preserve"> and UNICEF</w:t>
            </w:r>
          </w:p>
        </w:tc>
      </w:tr>
      <w:tr w:rsidR="005B3FC8" w:rsidRPr="001E7D91" w14:paraId="25B0AC14" w14:textId="77777777" w:rsidTr="006C2A43">
        <w:trPr>
          <w:jc w:val="center"/>
        </w:trPr>
        <w:tc>
          <w:tcPr>
            <w:tcW w:w="2965" w:type="dxa"/>
            <w:vAlign w:val="center"/>
          </w:tcPr>
          <w:p w14:paraId="0A718640" w14:textId="77777777" w:rsidR="005B3FC8" w:rsidRDefault="005B3FC8" w:rsidP="006C2A43">
            <w:pPr>
              <w:rPr>
                <w:rFonts w:eastAsia="Times New Roman"/>
                <w:b/>
                <w:color w:val="000000" w:themeColor="text1"/>
                <w:szCs w:val="20"/>
                <w:lang w:eastAsia="en-GB"/>
              </w:rPr>
            </w:pPr>
            <w:r w:rsidRPr="00461A41">
              <w:rPr>
                <w:rFonts w:eastAsia="Times New Roman"/>
                <w:b/>
                <w:color w:val="000000" w:themeColor="text1"/>
                <w:szCs w:val="20"/>
                <w:lang w:eastAsia="en-GB"/>
              </w:rPr>
              <w:t xml:space="preserve">Output </w:t>
            </w:r>
            <w:r>
              <w:rPr>
                <w:rFonts w:eastAsia="Times New Roman"/>
                <w:b/>
                <w:color w:val="000000" w:themeColor="text1"/>
                <w:szCs w:val="20"/>
                <w:lang w:eastAsia="en-GB"/>
              </w:rPr>
              <w:t>3</w:t>
            </w:r>
            <w:r w:rsidRPr="00461A41">
              <w:rPr>
                <w:rFonts w:eastAsia="Times New Roman"/>
                <w:b/>
                <w:color w:val="000000" w:themeColor="text1"/>
                <w:szCs w:val="20"/>
                <w:lang w:eastAsia="en-GB"/>
              </w:rPr>
              <w:t>.1 indicator 2:</w:t>
            </w:r>
          </w:p>
          <w:p w14:paraId="4037F5A7" w14:textId="77777777" w:rsidR="005B3FC8" w:rsidRPr="00042BCF" w:rsidRDefault="005B3FC8" w:rsidP="006C2A43">
            <w:pPr>
              <w:rPr>
                <w:rFonts w:eastAsia="Times New Roman"/>
                <w:color w:val="000000" w:themeColor="text1"/>
                <w:szCs w:val="20"/>
                <w:lang w:eastAsia="en-GB"/>
              </w:rPr>
            </w:pPr>
            <w:r w:rsidRPr="002A6919">
              <w:rPr>
                <w:rFonts w:eastAsia="Times New Roman"/>
                <w:color w:val="000000" w:themeColor="text1"/>
                <w:szCs w:val="20"/>
                <w:lang w:val="id-ID" w:eastAsia="en-GB"/>
              </w:rPr>
              <w:t xml:space="preserve"># of </w:t>
            </w:r>
            <w:r>
              <w:rPr>
                <w:rFonts w:eastAsia="Times New Roman"/>
                <w:color w:val="000000" w:themeColor="text1"/>
                <w:szCs w:val="20"/>
                <w:lang w:eastAsia="en-GB"/>
              </w:rPr>
              <w:t>frameworks</w:t>
            </w:r>
            <w:r w:rsidRPr="002A6919">
              <w:rPr>
                <w:rFonts w:eastAsia="Times New Roman"/>
                <w:color w:val="000000" w:themeColor="text1"/>
                <w:szCs w:val="20"/>
                <w:lang w:val="id-ID" w:eastAsia="en-GB"/>
              </w:rPr>
              <w:t xml:space="preserve"> for the </w:t>
            </w:r>
            <w:r w:rsidRPr="00461A41">
              <w:rPr>
                <w:rFonts w:eastAsia="Times New Roman"/>
                <w:color w:val="000000" w:themeColor="text1"/>
                <w:szCs w:val="20"/>
                <w:lang w:eastAsia="en-GB"/>
              </w:rPr>
              <w:t>INFF Oversight Committee</w:t>
            </w:r>
            <w:r w:rsidRPr="002A6919">
              <w:rPr>
                <w:rFonts w:eastAsia="Times New Roman"/>
                <w:color w:val="000000" w:themeColor="text1"/>
                <w:szCs w:val="20"/>
                <w:lang w:val="id-ID" w:eastAsia="en-GB"/>
              </w:rPr>
              <w:t xml:space="preserve"> to monitor </w:t>
            </w:r>
            <w:r w:rsidRPr="002A6919">
              <w:rPr>
                <w:rFonts w:eastAsia="Times New Roman"/>
                <w:color w:val="000000" w:themeColor="text1"/>
                <w:szCs w:val="20"/>
                <w:lang w:eastAsia="en-GB"/>
              </w:rPr>
              <w:t>public and private financing</w:t>
            </w:r>
            <w:r>
              <w:rPr>
                <w:rFonts w:eastAsia="Times New Roman"/>
                <w:color w:val="000000" w:themeColor="text1"/>
                <w:szCs w:val="20"/>
                <w:lang w:eastAsia="en-GB"/>
              </w:rPr>
              <w:t>,</w:t>
            </w:r>
            <w:r w:rsidRPr="002A6919">
              <w:rPr>
                <w:rFonts w:eastAsia="Times New Roman"/>
                <w:color w:val="000000" w:themeColor="text1"/>
                <w:szCs w:val="20"/>
                <w:lang w:eastAsia="en-GB"/>
              </w:rPr>
              <w:t xml:space="preserve"> </w:t>
            </w:r>
            <w:r w:rsidRPr="00042BCF">
              <w:rPr>
                <w:rFonts w:eastAsia="Times New Roman"/>
                <w:color w:val="000000" w:themeColor="text1"/>
                <w:szCs w:val="20"/>
                <w:lang w:eastAsia="en-GB"/>
              </w:rPr>
              <w:t xml:space="preserve">progress and impact of various financing policies, financing reform initiatives </w:t>
            </w:r>
          </w:p>
        </w:tc>
        <w:tc>
          <w:tcPr>
            <w:tcW w:w="1980" w:type="dxa"/>
            <w:vAlign w:val="center"/>
          </w:tcPr>
          <w:p w14:paraId="3DD7EE8C" w14:textId="77777777" w:rsidR="005B3FC8" w:rsidRPr="001E7D91" w:rsidRDefault="005B3FC8" w:rsidP="006C2A43">
            <w:pPr>
              <w:rPr>
                <w:rFonts w:eastAsia="Times New Roman"/>
                <w:color w:val="000000" w:themeColor="text1"/>
                <w:szCs w:val="20"/>
                <w:lang w:eastAsia="en-GB"/>
              </w:rPr>
            </w:pPr>
          </w:p>
        </w:tc>
        <w:tc>
          <w:tcPr>
            <w:tcW w:w="2070" w:type="dxa"/>
            <w:vAlign w:val="center"/>
          </w:tcPr>
          <w:p w14:paraId="1FE73366" w14:textId="77777777" w:rsidR="005B3FC8" w:rsidRPr="001E7D91" w:rsidRDefault="005B3FC8" w:rsidP="006C2A43">
            <w:pPr>
              <w:jc w:val="center"/>
              <w:rPr>
                <w:rFonts w:eastAsia="Times New Roman"/>
                <w:color w:val="000000" w:themeColor="text1"/>
                <w:szCs w:val="20"/>
                <w:lang w:eastAsia="en-GB"/>
              </w:rPr>
            </w:pPr>
            <w:r w:rsidRPr="003571D3">
              <w:rPr>
                <w:rFonts w:eastAsia="Times New Roman"/>
                <w:color w:val="000000" w:themeColor="text1"/>
                <w:szCs w:val="20"/>
                <w:lang w:eastAsia="en-GB"/>
              </w:rPr>
              <w:t>Recommendation about adapting monitoring framework made</w:t>
            </w:r>
          </w:p>
        </w:tc>
        <w:tc>
          <w:tcPr>
            <w:tcW w:w="2160" w:type="dxa"/>
            <w:vAlign w:val="center"/>
          </w:tcPr>
          <w:p w14:paraId="03AB8EEC" w14:textId="77777777" w:rsidR="005B3FC8" w:rsidRPr="001E7D91" w:rsidRDefault="005B3FC8" w:rsidP="006C2A43">
            <w:pPr>
              <w:jc w:val="center"/>
              <w:rPr>
                <w:rFonts w:eastAsia="Times New Roman"/>
                <w:color w:val="000000" w:themeColor="text1"/>
                <w:szCs w:val="20"/>
                <w:lang w:eastAsia="en-GB"/>
              </w:rPr>
            </w:pPr>
            <w:r w:rsidRPr="003571D3">
              <w:rPr>
                <w:rFonts w:eastAsia="Times New Roman"/>
                <w:color w:val="000000" w:themeColor="text1"/>
                <w:szCs w:val="20"/>
                <w:lang w:eastAsia="en-GB"/>
              </w:rPr>
              <w:t>Indicators incorporated into monitoring framework</w:t>
            </w:r>
          </w:p>
        </w:tc>
        <w:tc>
          <w:tcPr>
            <w:tcW w:w="2070" w:type="dxa"/>
            <w:vAlign w:val="center"/>
          </w:tcPr>
          <w:p w14:paraId="6796B66B" w14:textId="77777777" w:rsidR="005B3FC8" w:rsidRPr="00042BCF" w:rsidRDefault="005B3FC8" w:rsidP="006C2A43">
            <w:pPr>
              <w:rPr>
                <w:rFonts w:eastAsia="Times New Roman"/>
                <w:color w:val="000000" w:themeColor="text1"/>
                <w:szCs w:val="20"/>
                <w:lang w:val="id-ID" w:eastAsia="en-GB"/>
              </w:rPr>
            </w:pPr>
            <w:r w:rsidRPr="003571D3">
              <w:rPr>
                <w:rFonts w:eastAsia="Times New Roman"/>
                <w:color w:val="000000" w:themeColor="text1"/>
                <w:szCs w:val="20"/>
                <w:lang w:eastAsia="en-GB"/>
              </w:rPr>
              <w:t xml:space="preserve">Report with recommendations on adapting </w:t>
            </w:r>
            <w:r>
              <w:rPr>
                <w:rFonts w:eastAsia="Times New Roman"/>
                <w:color w:val="000000" w:themeColor="text1"/>
                <w:szCs w:val="20"/>
                <w:lang w:eastAsia="en-GB"/>
              </w:rPr>
              <w:t>SDG/national development plan</w:t>
            </w:r>
            <w:r w:rsidRPr="003571D3">
              <w:rPr>
                <w:rFonts w:eastAsia="Times New Roman"/>
                <w:color w:val="000000" w:themeColor="text1"/>
                <w:szCs w:val="20"/>
                <w:lang w:eastAsia="en-GB"/>
              </w:rPr>
              <w:t xml:space="preserve"> monitoring framework</w:t>
            </w:r>
          </w:p>
        </w:tc>
        <w:tc>
          <w:tcPr>
            <w:tcW w:w="1980" w:type="dxa"/>
            <w:vAlign w:val="center"/>
          </w:tcPr>
          <w:p w14:paraId="1BE11A0A" w14:textId="77777777" w:rsidR="005B3FC8" w:rsidRPr="00F644C0" w:rsidRDefault="005B3FC8" w:rsidP="006C2A43">
            <w:pPr>
              <w:rPr>
                <w:rFonts w:eastAsia="Times New Roman"/>
                <w:color w:val="000000" w:themeColor="text1"/>
                <w:szCs w:val="20"/>
                <w:lang w:eastAsia="en-GB"/>
              </w:rPr>
            </w:pPr>
            <w:r>
              <w:rPr>
                <w:rFonts w:eastAsia="Times New Roman"/>
                <w:color w:val="000000" w:themeColor="text1"/>
                <w:szCs w:val="20"/>
                <w:lang w:eastAsia="en-GB"/>
              </w:rPr>
              <w:t xml:space="preserve">Representing bodies of the </w:t>
            </w:r>
            <w:r w:rsidRPr="00253A7F">
              <w:rPr>
                <w:rFonts w:eastAsia="Times New Roman"/>
                <w:color w:val="000000" w:themeColor="text1"/>
                <w:szCs w:val="20"/>
                <w:lang w:eastAsia="en-GB"/>
              </w:rPr>
              <w:t>INFF oversight committee</w:t>
            </w:r>
            <w:r>
              <w:rPr>
                <w:rFonts w:eastAsia="Times New Roman"/>
                <w:color w:val="000000" w:themeColor="text1"/>
                <w:szCs w:val="20"/>
                <w:lang w:eastAsia="en-GB"/>
              </w:rPr>
              <w:t xml:space="preserve">, </w:t>
            </w:r>
            <w:r w:rsidRPr="00042BCF">
              <w:rPr>
                <w:rFonts w:eastAsia="Times New Roman"/>
                <w:color w:val="000000" w:themeColor="text1"/>
                <w:szCs w:val="20"/>
                <w:lang w:val="id-ID" w:eastAsia="en-GB"/>
              </w:rPr>
              <w:t>UNICE</w:t>
            </w:r>
            <w:r>
              <w:rPr>
                <w:rFonts w:eastAsia="Times New Roman"/>
                <w:color w:val="000000" w:themeColor="text1"/>
                <w:szCs w:val="20"/>
                <w:lang w:eastAsia="en-GB"/>
              </w:rPr>
              <w:t>F</w:t>
            </w:r>
          </w:p>
        </w:tc>
      </w:tr>
      <w:tr w:rsidR="005B3FC8" w:rsidRPr="00461A41" w14:paraId="22E453B1" w14:textId="77777777" w:rsidTr="006C2A43">
        <w:trPr>
          <w:jc w:val="center"/>
        </w:trPr>
        <w:tc>
          <w:tcPr>
            <w:tcW w:w="13225" w:type="dxa"/>
            <w:gridSpan w:val="6"/>
            <w:shd w:val="clear" w:color="auto" w:fill="EDEDED" w:themeFill="accent3" w:themeFillTint="33"/>
            <w:vAlign w:val="center"/>
          </w:tcPr>
          <w:p w14:paraId="05C648D2" w14:textId="77777777" w:rsidR="005B3FC8" w:rsidRPr="00461A41" w:rsidRDefault="005B3FC8" w:rsidP="006C2A43">
            <w:pPr>
              <w:rPr>
                <w:rFonts w:eastAsia="Times New Roman"/>
                <w:b/>
                <w:color w:val="000000" w:themeColor="text1"/>
                <w:szCs w:val="20"/>
                <w:lang w:eastAsia="en-GB"/>
              </w:rPr>
            </w:pPr>
            <w:r w:rsidRPr="00461A41">
              <w:rPr>
                <w:rFonts w:eastAsia="Times New Roman"/>
                <w:b/>
                <w:color w:val="000000" w:themeColor="text1"/>
                <w:szCs w:val="20"/>
                <w:lang w:eastAsia="en-GB"/>
              </w:rPr>
              <w:t xml:space="preserve">Output </w:t>
            </w:r>
            <w:r>
              <w:rPr>
                <w:rFonts w:eastAsia="Times New Roman"/>
                <w:b/>
                <w:color w:val="000000" w:themeColor="text1"/>
                <w:szCs w:val="20"/>
                <w:lang w:eastAsia="en-GB"/>
              </w:rPr>
              <w:t>3</w:t>
            </w:r>
            <w:r w:rsidRPr="00461A41">
              <w:rPr>
                <w:rFonts w:eastAsia="Times New Roman"/>
                <w:b/>
                <w:color w:val="000000" w:themeColor="text1"/>
                <w:szCs w:val="20"/>
                <w:lang w:eastAsia="en-GB"/>
              </w:rPr>
              <w:t xml:space="preserve">.2: </w:t>
            </w:r>
            <w:r w:rsidRPr="006E4944">
              <w:rPr>
                <w:rFonts w:eastAsia="Times New Roman"/>
                <w:b/>
                <w:color w:val="000000" w:themeColor="text1"/>
                <w:szCs w:val="20"/>
                <w:lang w:eastAsia="en-GB"/>
              </w:rPr>
              <w:t>Capacity of the INFF oversight committee and private sector enhanced to enable stronger dialogue and collaboration on financing policies between government and other non-state stakeholders</w:t>
            </w:r>
          </w:p>
        </w:tc>
      </w:tr>
      <w:tr w:rsidR="005B3FC8" w:rsidRPr="001E7D91" w14:paraId="2774DB90" w14:textId="77777777" w:rsidTr="006C2A43">
        <w:trPr>
          <w:jc w:val="center"/>
        </w:trPr>
        <w:tc>
          <w:tcPr>
            <w:tcW w:w="2965" w:type="dxa"/>
            <w:vAlign w:val="center"/>
          </w:tcPr>
          <w:p w14:paraId="2C6B7801" w14:textId="77777777" w:rsidR="005B3FC8" w:rsidRPr="001E7D91" w:rsidRDefault="005B3FC8" w:rsidP="006C2A43">
            <w:pPr>
              <w:rPr>
                <w:rFonts w:eastAsia="Times New Roman"/>
                <w:color w:val="000000" w:themeColor="text1"/>
                <w:szCs w:val="20"/>
                <w:lang w:eastAsia="en-GB"/>
              </w:rPr>
            </w:pPr>
            <w:r w:rsidRPr="00461A41">
              <w:rPr>
                <w:rFonts w:eastAsia="Times New Roman"/>
                <w:b/>
                <w:color w:val="000000" w:themeColor="text1"/>
                <w:szCs w:val="20"/>
                <w:lang w:eastAsia="en-GB"/>
              </w:rPr>
              <w:t xml:space="preserve">Output </w:t>
            </w:r>
            <w:r>
              <w:rPr>
                <w:rFonts w:eastAsia="Times New Roman"/>
                <w:b/>
                <w:color w:val="000000" w:themeColor="text1"/>
                <w:szCs w:val="20"/>
                <w:lang w:eastAsia="en-GB"/>
              </w:rPr>
              <w:t>3</w:t>
            </w:r>
            <w:r w:rsidRPr="00461A41">
              <w:rPr>
                <w:rFonts w:eastAsia="Times New Roman"/>
                <w:b/>
                <w:color w:val="000000" w:themeColor="text1"/>
                <w:szCs w:val="20"/>
                <w:lang w:eastAsia="en-GB"/>
              </w:rPr>
              <w:t>.2 indicator 1:</w:t>
            </w:r>
            <w:r>
              <w:rPr>
                <w:rFonts w:eastAsia="Times New Roman"/>
                <w:color w:val="000000" w:themeColor="text1"/>
                <w:szCs w:val="20"/>
                <w:lang w:eastAsia="en-GB"/>
              </w:rPr>
              <w:t xml:space="preserve"> # of </w:t>
            </w:r>
            <w:r w:rsidRPr="00276115">
              <w:rPr>
                <w:rFonts w:eastAsia="Times New Roman"/>
                <w:color w:val="000000" w:themeColor="text1"/>
                <w:szCs w:val="20"/>
                <w:lang w:eastAsia="en-GB"/>
              </w:rPr>
              <w:t xml:space="preserve">capacity building </w:t>
            </w:r>
            <w:r>
              <w:rPr>
                <w:rFonts w:eastAsia="Times New Roman"/>
                <w:color w:val="000000" w:themeColor="text1"/>
                <w:szCs w:val="20"/>
                <w:lang w:eastAsia="en-GB"/>
              </w:rPr>
              <w:t>workshops or</w:t>
            </w:r>
            <w:r w:rsidRPr="00276115">
              <w:rPr>
                <w:rFonts w:eastAsia="Times New Roman"/>
                <w:color w:val="000000" w:themeColor="text1"/>
                <w:szCs w:val="20"/>
                <w:lang w:eastAsia="en-GB"/>
              </w:rPr>
              <w:t xml:space="preserve"> mentoring </w:t>
            </w:r>
            <w:r>
              <w:rPr>
                <w:rFonts w:eastAsia="Times New Roman"/>
                <w:color w:val="000000" w:themeColor="text1"/>
                <w:szCs w:val="20"/>
                <w:lang w:eastAsia="en-GB"/>
              </w:rPr>
              <w:t xml:space="preserve">meetings </w:t>
            </w:r>
            <w:r w:rsidRPr="00276115">
              <w:rPr>
                <w:rFonts w:eastAsia="Times New Roman"/>
                <w:color w:val="000000" w:themeColor="text1"/>
                <w:szCs w:val="20"/>
                <w:lang w:eastAsia="en-GB"/>
              </w:rPr>
              <w:t xml:space="preserve">to the INFF Oversight Committee to build coherence across various financing policies, </w:t>
            </w:r>
            <w:r w:rsidRPr="00276115">
              <w:rPr>
                <w:rFonts w:eastAsia="Times New Roman"/>
                <w:color w:val="000000" w:themeColor="text1"/>
                <w:szCs w:val="20"/>
                <w:lang w:eastAsia="en-GB"/>
              </w:rPr>
              <w:lastRenderedPageBreak/>
              <w:t>to advocate and build dialogue with a broad range of financing actors</w:t>
            </w:r>
          </w:p>
        </w:tc>
        <w:tc>
          <w:tcPr>
            <w:tcW w:w="1980" w:type="dxa"/>
            <w:vAlign w:val="center"/>
          </w:tcPr>
          <w:p w14:paraId="31E79BE0" w14:textId="77777777" w:rsidR="005B3FC8" w:rsidRPr="001E7D91" w:rsidRDefault="005B3FC8" w:rsidP="006C2A43">
            <w:pPr>
              <w:jc w:val="center"/>
              <w:rPr>
                <w:rFonts w:eastAsia="Times New Roman"/>
                <w:color w:val="000000" w:themeColor="text1"/>
                <w:szCs w:val="20"/>
                <w:lang w:eastAsia="en-GB"/>
              </w:rPr>
            </w:pPr>
            <w:r w:rsidRPr="001E7D91">
              <w:rPr>
                <w:rFonts w:eastAsia="Times New Roman"/>
                <w:color w:val="000000" w:themeColor="text1"/>
                <w:szCs w:val="20"/>
                <w:lang w:eastAsia="en-GB"/>
              </w:rPr>
              <w:lastRenderedPageBreak/>
              <w:t>0</w:t>
            </w:r>
          </w:p>
        </w:tc>
        <w:tc>
          <w:tcPr>
            <w:tcW w:w="2070" w:type="dxa"/>
            <w:vAlign w:val="center"/>
          </w:tcPr>
          <w:p w14:paraId="1D53AE3A" w14:textId="77777777" w:rsidR="005B3FC8" w:rsidRPr="001E7D91" w:rsidRDefault="005B3FC8" w:rsidP="006C2A43">
            <w:pPr>
              <w:jc w:val="center"/>
              <w:rPr>
                <w:rFonts w:eastAsia="Times New Roman"/>
                <w:color w:val="000000" w:themeColor="text1"/>
                <w:szCs w:val="20"/>
                <w:lang w:eastAsia="en-GB"/>
              </w:rPr>
            </w:pPr>
            <w:r>
              <w:rPr>
                <w:rFonts w:eastAsia="Times New Roman"/>
                <w:color w:val="000000" w:themeColor="text1"/>
                <w:szCs w:val="20"/>
                <w:lang w:eastAsia="en-GB"/>
              </w:rPr>
              <w:t>0</w:t>
            </w:r>
          </w:p>
        </w:tc>
        <w:tc>
          <w:tcPr>
            <w:tcW w:w="2160" w:type="dxa"/>
            <w:vAlign w:val="center"/>
          </w:tcPr>
          <w:p w14:paraId="2E4FB659" w14:textId="77777777" w:rsidR="005B3FC8" w:rsidRPr="001E7D91" w:rsidRDefault="005B3FC8" w:rsidP="006C2A43">
            <w:pPr>
              <w:jc w:val="center"/>
              <w:rPr>
                <w:rFonts w:eastAsia="Times New Roman"/>
                <w:color w:val="000000" w:themeColor="text1"/>
                <w:szCs w:val="20"/>
                <w:lang w:eastAsia="en-GB"/>
              </w:rPr>
            </w:pPr>
            <w:r>
              <w:rPr>
                <w:rFonts w:eastAsia="Times New Roman"/>
                <w:color w:val="000000" w:themeColor="text1"/>
                <w:szCs w:val="20"/>
                <w:lang w:eastAsia="en-GB"/>
              </w:rPr>
              <w:t>1</w:t>
            </w:r>
          </w:p>
        </w:tc>
        <w:tc>
          <w:tcPr>
            <w:tcW w:w="2070" w:type="dxa"/>
            <w:vAlign w:val="center"/>
          </w:tcPr>
          <w:p w14:paraId="43132E8D" w14:textId="77777777" w:rsidR="005B3FC8" w:rsidRPr="001E7D91" w:rsidRDefault="005B3FC8" w:rsidP="006C2A43">
            <w:pPr>
              <w:rPr>
                <w:rFonts w:eastAsia="Times New Roman"/>
                <w:color w:val="000000" w:themeColor="text1"/>
                <w:szCs w:val="20"/>
                <w:lang w:eastAsia="en-GB"/>
              </w:rPr>
            </w:pPr>
            <w:r w:rsidRPr="00461A41">
              <w:rPr>
                <w:color w:val="000000"/>
                <w:szCs w:val="20"/>
                <w:lang w:val="id-ID" w:eastAsia="en-GB"/>
              </w:rPr>
              <w:t>Training materials, Workshop reports</w:t>
            </w:r>
          </w:p>
        </w:tc>
        <w:tc>
          <w:tcPr>
            <w:tcW w:w="1980" w:type="dxa"/>
            <w:vAlign w:val="center"/>
          </w:tcPr>
          <w:p w14:paraId="51EDB63B" w14:textId="77777777" w:rsidR="005B3FC8" w:rsidRPr="001E7D91" w:rsidRDefault="005B3FC8" w:rsidP="006C2A43">
            <w:pPr>
              <w:rPr>
                <w:rFonts w:eastAsia="Times New Roman"/>
                <w:color w:val="000000" w:themeColor="text1"/>
                <w:szCs w:val="20"/>
                <w:lang w:eastAsia="en-GB"/>
              </w:rPr>
            </w:pPr>
            <w:r>
              <w:rPr>
                <w:rFonts w:eastAsia="Times New Roman"/>
                <w:color w:val="000000" w:themeColor="text1"/>
                <w:szCs w:val="20"/>
                <w:lang w:eastAsia="en-GB"/>
              </w:rPr>
              <w:t xml:space="preserve">Representing bodies of the </w:t>
            </w:r>
            <w:r w:rsidRPr="00253A7F">
              <w:rPr>
                <w:rFonts w:eastAsia="Times New Roman"/>
                <w:color w:val="000000" w:themeColor="text1"/>
                <w:szCs w:val="20"/>
                <w:lang w:eastAsia="en-GB"/>
              </w:rPr>
              <w:t>INFF oversight committee</w:t>
            </w:r>
            <w:r>
              <w:rPr>
                <w:rFonts w:eastAsia="Times New Roman"/>
                <w:color w:val="000000" w:themeColor="text1"/>
                <w:szCs w:val="20"/>
                <w:lang w:eastAsia="en-GB"/>
              </w:rPr>
              <w:t>, UNDP</w:t>
            </w:r>
          </w:p>
        </w:tc>
      </w:tr>
      <w:tr w:rsidR="005B3FC8" w:rsidRPr="001E7D91" w14:paraId="723D664A" w14:textId="77777777" w:rsidTr="006C2A43">
        <w:trPr>
          <w:jc w:val="center"/>
        </w:trPr>
        <w:tc>
          <w:tcPr>
            <w:tcW w:w="2965" w:type="dxa"/>
            <w:vAlign w:val="center"/>
          </w:tcPr>
          <w:p w14:paraId="4917ECE4" w14:textId="77777777" w:rsidR="005B3FC8" w:rsidRPr="00461A41" w:rsidRDefault="005B3FC8" w:rsidP="006C2A43">
            <w:pPr>
              <w:rPr>
                <w:rFonts w:eastAsia="Times New Roman"/>
                <w:b/>
                <w:color w:val="000000" w:themeColor="text1"/>
                <w:szCs w:val="20"/>
                <w:lang w:eastAsia="en-GB"/>
              </w:rPr>
            </w:pPr>
            <w:r w:rsidRPr="00461A41">
              <w:rPr>
                <w:rFonts w:eastAsia="Times New Roman"/>
                <w:b/>
                <w:color w:val="000000" w:themeColor="text1"/>
                <w:szCs w:val="20"/>
                <w:lang w:eastAsia="en-GB"/>
              </w:rPr>
              <w:t xml:space="preserve">Output </w:t>
            </w:r>
            <w:r>
              <w:rPr>
                <w:rFonts w:eastAsia="Times New Roman"/>
                <w:b/>
                <w:color w:val="000000" w:themeColor="text1"/>
                <w:szCs w:val="20"/>
                <w:lang w:eastAsia="en-GB"/>
              </w:rPr>
              <w:t>3</w:t>
            </w:r>
            <w:r w:rsidRPr="00461A41">
              <w:rPr>
                <w:rFonts w:eastAsia="Times New Roman"/>
                <w:b/>
                <w:color w:val="000000" w:themeColor="text1"/>
                <w:szCs w:val="20"/>
                <w:lang w:eastAsia="en-GB"/>
              </w:rPr>
              <w:t xml:space="preserve">.2 indicator 2: </w:t>
            </w:r>
          </w:p>
          <w:p w14:paraId="35E7CEE8" w14:textId="77777777" w:rsidR="005B3FC8" w:rsidRPr="001E7D91" w:rsidRDefault="005B3FC8" w:rsidP="006C2A43">
            <w:pPr>
              <w:rPr>
                <w:rFonts w:eastAsia="Times New Roman"/>
                <w:color w:val="000000" w:themeColor="text1"/>
                <w:szCs w:val="20"/>
                <w:lang w:eastAsia="en-GB"/>
              </w:rPr>
            </w:pPr>
            <w:r>
              <w:rPr>
                <w:rFonts w:eastAsia="Times New Roman"/>
                <w:color w:val="000000" w:themeColor="text1"/>
                <w:szCs w:val="20"/>
                <w:lang w:eastAsia="en-GB"/>
              </w:rPr>
              <w:t xml:space="preserve"># of </w:t>
            </w:r>
            <w:r w:rsidRPr="0034329B">
              <w:rPr>
                <w:rFonts w:eastAsia="Times New Roman"/>
                <w:color w:val="000000" w:themeColor="text1"/>
                <w:szCs w:val="20"/>
                <w:lang w:eastAsia="en-GB"/>
              </w:rPr>
              <w:t xml:space="preserve">capacity building </w:t>
            </w:r>
            <w:r>
              <w:rPr>
                <w:rFonts w:eastAsia="Times New Roman"/>
                <w:color w:val="000000" w:themeColor="text1"/>
                <w:szCs w:val="20"/>
                <w:lang w:eastAsia="en-GB"/>
              </w:rPr>
              <w:t>workshops</w:t>
            </w:r>
            <w:r w:rsidRPr="0034329B">
              <w:rPr>
                <w:rFonts w:eastAsia="Times New Roman"/>
                <w:color w:val="000000" w:themeColor="text1"/>
                <w:szCs w:val="20"/>
                <w:lang w:eastAsia="en-GB"/>
              </w:rPr>
              <w:t xml:space="preserve"> </w:t>
            </w:r>
            <w:r>
              <w:rPr>
                <w:rFonts w:eastAsia="Times New Roman"/>
                <w:color w:val="000000" w:themeColor="text1"/>
                <w:szCs w:val="20"/>
                <w:lang w:eastAsia="en-GB"/>
              </w:rPr>
              <w:t xml:space="preserve">to </w:t>
            </w:r>
            <w:r w:rsidRPr="0034329B">
              <w:rPr>
                <w:rFonts w:eastAsia="Times New Roman"/>
                <w:color w:val="000000" w:themeColor="text1"/>
                <w:szCs w:val="20"/>
                <w:lang w:eastAsia="en-GB"/>
              </w:rPr>
              <w:t xml:space="preserve">the public-private platforms </w:t>
            </w:r>
            <w:r>
              <w:rPr>
                <w:rFonts w:eastAsia="Times New Roman"/>
                <w:color w:val="000000" w:themeColor="text1"/>
                <w:szCs w:val="20"/>
                <w:lang w:eastAsia="en-GB"/>
              </w:rPr>
              <w:t xml:space="preserve">on </w:t>
            </w:r>
            <w:r w:rsidRPr="0034329B">
              <w:rPr>
                <w:rFonts w:eastAsia="Times New Roman"/>
                <w:color w:val="000000" w:themeColor="text1"/>
                <w:szCs w:val="20"/>
                <w:lang w:eastAsia="en-GB"/>
              </w:rPr>
              <w:t>dialogues, feedback mechanisms and advocacy targeting business actors, business associations</w:t>
            </w:r>
          </w:p>
        </w:tc>
        <w:tc>
          <w:tcPr>
            <w:tcW w:w="1980" w:type="dxa"/>
            <w:vAlign w:val="center"/>
          </w:tcPr>
          <w:p w14:paraId="18F95939" w14:textId="77777777" w:rsidR="005B3FC8" w:rsidRPr="001E7D91" w:rsidRDefault="005B3FC8" w:rsidP="006C2A43">
            <w:pPr>
              <w:jc w:val="center"/>
              <w:rPr>
                <w:rFonts w:eastAsia="Times New Roman"/>
                <w:color w:val="000000" w:themeColor="text1"/>
                <w:szCs w:val="20"/>
                <w:lang w:eastAsia="en-GB"/>
              </w:rPr>
            </w:pPr>
            <w:r>
              <w:rPr>
                <w:rFonts w:eastAsia="Times New Roman"/>
                <w:color w:val="000000" w:themeColor="text1"/>
                <w:szCs w:val="20"/>
                <w:lang w:eastAsia="en-GB"/>
              </w:rPr>
              <w:t>0</w:t>
            </w:r>
          </w:p>
        </w:tc>
        <w:tc>
          <w:tcPr>
            <w:tcW w:w="2070" w:type="dxa"/>
            <w:vAlign w:val="center"/>
          </w:tcPr>
          <w:p w14:paraId="30E0A95D" w14:textId="77777777" w:rsidR="005B3FC8" w:rsidRPr="001E7D91" w:rsidRDefault="005B3FC8" w:rsidP="006C2A43">
            <w:pPr>
              <w:jc w:val="center"/>
              <w:rPr>
                <w:rFonts w:eastAsia="Times New Roman"/>
                <w:color w:val="000000" w:themeColor="text1"/>
                <w:szCs w:val="20"/>
                <w:lang w:eastAsia="en-GB"/>
              </w:rPr>
            </w:pPr>
            <w:r w:rsidRPr="00042BCF">
              <w:rPr>
                <w:rFonts w:eastAsia="Times New Roman"/>
                <w:color w:val="000000" w:themeColor="text1"/>
                <w:szCs w:val="20"/>
                <w:lang w:eastAsia="en-GB"/>
              </w:rPr>
              <w:t>0</w:t>
            </w:r>
          </w:p>
        </w:tc>
        <w:tc>
          <w:tcPr>
            <w:tcW w:w="2160" w:type="dxa"/>
            <w:vAlign w:val="center"/>
          </w:tcPr>
          <w:p w14:paraId="35CE1D77" w14:textId="77777777" w:rsidR="005B3FC8" w:rsidRPr="001E7D91" w:rsidRDefault="005B3FC8" w:rsidP="006C2A43">
            <w:pPr>
              <w:jc w:val="center"/>
              <w:rPr>
                <w:rFonts w:eastAsia="Times New Roman"/>
                <w:color w:val="000000" w:themeColor="text1"/>
                <w:szCs w:val="20"/>
                <w:lang w:eastAsia="en-GB"/>
              </w:rPr>
            </w:pPr>
            <w:r>
              <w:rPr>
                <w:rFonts w:eastAsia="Times New Roman"/>
                <w:color w:val="000000" w:themeColor="text1"/>
                <w:szCs w:val="20"/>
                <w:lang w:eastAsia="en-GB"/>
              </w:rPr>
              <w:t>1</w:t>
            </w:r>
          </w:p>
        </w:tc>
        <w:tc>
          <w:tcPr>
            <w:tcW w:w="2070" w:type="dxa"/>
            <w:vAlign w:val="center"/>
          </w:tcPr>
          <w:p w14:paraId="3F4D3F6A" w14:textId="77777777" w:rsidR="005B3FC8" w:rsidRPr="001E7D91" w:rsidRDefault="005B3FC8" w:rsidP="006C2A43">
            <w:pPr>
              <w:rPr>
                <w:rFonts w:eastAsia="Times New Roman"/>
                <w:color w:val="000000" w:themeColor="text1"/>
                <w:szCs w:val="20"/>
                <w:lang w:eastAsia="en-GB"/>
              </w:rPr>
            </w:pPr>
            <w:r w:rsidRPr="00461A41">
              <w:rPr>
                <w:color w:val="000000"/>
                <w:szCs w:val="20"/>
                <w:lang w:val="id-ID" w:eastAsia="en-GB"/>
              </w:rPr>
              <w:t>Training materials, Workshop reports</w:t>
            </w:r>
          </w:p>
        </w:tc>
        <w:tc>
          <w:tcPr>
            <w:tcW w:w="1980" w:type="dxa"/>
            <w:vAlign w:val="center"/>
          </w:tcPr>
          <w:p w14:paraId="11868F8A" w14:textId="77777777" w:rsidR="005B3FC8" w:rsidRPr="001E7D91" w:rsidRDefault="005B3FC8" w:rsidP="006C2A43">
            <w:pPr>
              <w:rPr>
                <w:rFonts w:eastAsia="Times New Roman"/>
                <w:color w:val="000000" w:themeColor="text1"/>
                <w:szCs w:val="20"/>
                <w:lang w:eastAsia="en-GB"/>
              </w:rPr>
            </w:pPr>
            <w:r>
              <w:rPr>
                <w:rFonts w:eastAsia="Times New Roman"/>
                <w:color w:val="000000" w:themeColor="text1"/>
                <w:szCs w:val="20"/>
                <w:lang w:eastAsia="en-GB"/>
              </w:rPr>
              <w:t xml:space="preserve">Representing bodies of the </w:t>
            </w:r>
            <w:r w:rsidRPr="00253A7F">
              <w:rPr>
                <w:rFonts w:eastAsia="Times New Roman"/>
                <w:color w:val="000000" w:themeColor="text1"/>
                <w:szCs w:val="20"/>
                <w:lang w:eastAsia="en-GB"/>
              </w:rPr>
              <w:t>INFF oversight committee</w:t>
            </w:r>
            <w:r>
              <w:rPr>
                <w:rFonts w:eastAsia="Times New Roman"/>
                <w:color w:val="000000" w:themeColor="text1"/>
                <w:szCs w:val="20"/>
                <w:lang w:eastAsia="en-GB"/>
              </w:rPr>
              <w:t xml:space="preserve">, Business Council, Trade Facilitation Committee, PPP steering committee, Maldives GC network, </w:t>
            </w:r>
            <w:r w:rsidRPr="001E7D91">
              <w:rPr>
                <w:rFonts w:eastAsia="Times New Roman"/>
                <w:color w:val="000000" w:themeColor="text1"/>
                <w:szCs w:val="20"/>
                <w:lang w:eastAsia="en-GB"/>
              </w:rPr>
              <w:t>UNICEF</w:t>
            </w:r>
          </w:p>
        </w:tc>
      </w:tr>
    </w:tbl>
    <w:p w14:paraId="0BCA5082" w14:textId="77777777" w:rsidR="005B3FC8" w:rsidRPr="00CD3D9C" w:rsidRDefault="005B3FC8" w:rsidP="001134F6">
      <w:pPr>
        <w:rPr>
          <w:rFonts w:eastAsia="Times New Roman"/>
          <w:color w:val="000000" w:themeColor="text1"/>
          <w:szCs w:val="20"/>
          <w:lang w:eastAsia="en-GB"/>
        </w:rPr>
      </w:pPr>
    </w:p>
    <w:p w14:paraId="71E09FAD" w14:textId="77777777" w:rsidR="0022752E" w:rsidRPr="00CD3D9C" w:rsidRDefault="0022752E" w:rsidP="001134F6">
      <w:pPr>
        <w:rPr>
          <w:rFonts w:eastAsia="Times New Roman"/>
          <w:color w:val="000000" w:themeColor="text1"/>
          <w:szCs w:val="20"/>
          <w:lang w:eastAsia="en-GB"/>
        </w:rPr>
      </w:pPr>
    </w:p>
    <w:p w14:paraId="09A3C266" w14:textId="6A3073CC" w:rsidR="000D5E25" w:rsidRPr="00BB32C7" w:rsidRDefault="000D5E25" w:rsidP="000D5E25">
      <w:pPr>
        <w:rPr>
          <w:rFonts w:eastAsia="Times New Roman"/>
          <w:b/>
          <w:color w:val="0070C0"/>
          <w:szCs w:val="20"/>
          <w:u w:val="single"/>
          <w:lang w:eastAsia="en-GB"/>
        </w:rPr>
      </w:pPr>
      <w:r w:rsidRPr="00CD3D9C">
        <w:rPr>
          <w:rFonts w:eastAsia="Times New Roman"/>
          <w:b/>
          <w:color w:val="0070C0"/>
          <w:szCs w:val="20"/>
          <w:u w:val="single"/>
          <w:lang w:eastAsia="en-GB"/>
        </w:rPr>
        <w:t xml:space="preserve">Annex </w:t>
      </w:r>
      <w:r w:rsidR="000A68B0" w:rsidRPr="00CD3D9C">
        <w:rPr>
          <w:rFonts w:eastAsia="Times New Roman"/>
          <w:b/>
          <w:color w:val="0070C0"/>
          <w:szCs w:val="20"/>
          <w:u w:val="single"/>
          <w:lang w:eastAsia="en-GB"/>
        </w:rPr>
        <w:t>3</w:t>
      </w:r>
      <w:r w:rsidRPr="00CD3D9C">
        <w:rPr>
          <w:rFonts w:eastAsia="Times New Roman"/>
          <w:b/>
          <w:color w:val="0070C0"/>
          <w:szCs w:val="20"/>
          <w:u w:val="single"/>
          <w:lang w:eastAsia="en-GB"/>
        </w:rPr>
        <w:t xml:space="preserve">. Gender marker matrix </w:t>
      </w:r>
    </w:p>
    <w:p w14:paraId="6A656BAA" w14:textId="77777777" w:rsidR="000D5E25" w:rsidRPr="00CD3D9C" w:rsidRDefault="000D5E25" w:rsidP="000D5E25">
      <w:pPr>
        <w:rPr>
          <w:rFonts w:eastAsia="Times New Roman"/>
          <w:color w:val="000000" w:themeColor="text1"/>
          <w:szCs w:val="20"/>
          <w:u w:val="single"/>
          <w:lang w:eastAsia="en-GB"/>
        </w:rPr>
      </w:pPr>
    </w:p>
    <w:tbl>
      <w:tblPr>
        <w:tblStyle w:val="TableGrid"/>
        <w:tblW w:w="0" w:type="auto"/>
        <w:jc w:val="center"/>
        <w:tblLook w:val="04A0" w:firstRow="1" w:lastRow="0" w:firstColumn="1" w:lastColumn="0" w:noHBand="0" w:noVBand="1"/>
      </w:tblPr>
      <w:tblGrid>
        <w:gridCol w:w="544"/>
        <w:gridCol w:w="3174"/>
        <w:gridCol w:w="846"/>
        <w:gridCol w:w="5220"/>
        <w:gridCol w:w="2880"/>
      </w:tblGrid>
      <w:tr w:rsidR="000D5E25" w:rsidRPr="00BB32C7" w14:paraId="76DAAB79" w14:textId="77777777" w:rsidTr="00745D57">
        <w:trPr>
          <w:jc w:val="center"/>
        </w:trPr>
        <w:tc>
          <w:tcPr>
            <w:tcW w:w="3718" w:type="dxa"/>
            <w:gridSpan w:val="2"/>
            <w:shd w:val="clear" w:color="auto" w:fill="BDD6EE" w:themeFill="accent5" w:themeFillTint="66"/>
            <w:vAlign w:val="center"/>
          </w:tcPr>
          <w:p w14:paraId="4FE043D4" w14:textId="77777777" w:rsidR="000D5E25" w:rsidRPr="00FD642B" w:rsidRDefault="000D5E25" w:rsidP="0025465C">
            <w:pPr>
              <w:rPr>
                <w:rFonts w:cs="Calibri"/>
                <w:b/>
                <w:color w:val="000000" w:themeColor="text1"/>
                <w:szCs w:val="20"/>
              </w:rPr>
            </w:pPr>
            <w:r w:rsidRPr="00FD642B">
              <w:rPr>
                <w:rFonts w:cs="Calibri"/>
                <w:b/>
                <w:color w:val="000000" w:themeColor="text1"/>
                <w:szCs w:val="20"/>
              </w:rPr>
              <w:t>Indicator</w:t>
            </w:r>
          </w:p>
        </w:tc>
        <w:tc>
          <w:tcPr>
            <w:tcW w:w="846" w:type="dxa"/>
            <w:vMerge w:val="restart"/>
            <w:shd w:val="clear" w:color="auto" w:fill="BDD6EE" w:themeFill="accent5" w:themeFillTint="66"/>
            <w:vAlign w:val="center"/>
          </w:tcPr>
          <w:p w14:paraId="69970B82" w14:textId="77777777" w:rsidR="000D5E25" w:rsidRPr="00FD642B" w:rsidRDefault="000D5E25" w:rsidP="0025465C">
            <w:pPr>
              <w:rPr>
                <w:rFonts w:cs="Calibri"/>
                <w:b/>
                <w:color w:val="000000" w:themeColor="text1"/>
                <w:szCs w:val="20"/>
              </w:rPr>
            </w:pPr>
            <w:r w:rsidRPr="00FD642B">
              <w:rPr>
                <w:rFonts w:cs="Calibri"/>
                <w:b/>
                <w:color w:val="000000" w:themeColor="text1"/>
                <w:szCs w:val="20"/>
              </w:rPr>
              <w:t>Score</w:t>
            </w:r>
          </w:p>
        </w:tc>
        <w:tc>
          <w:tcPr>
            <w:tcW w:w="5220" w:type="dxa"/>
            <w:vMerge w:val="restart"/>
            <w:shd w:val="clear" w:color="auto" w:fill="BDD6EE" w:themeFill="accent5" w:themeFillTint="66"/>
            <w:vAlign w:val="center"/>
          </w:tcPr>
          <w:p w14:paraId="62A15EDA" w14:textId="77777777" w:rsidR="000D5E25" w:rsidRPr="00FD642B" w:rsidRDefault="000D5E25" w:rsidP="0025465C">
            <w:pPr>
              <w:rPr>
                <w:rFonts w:cs="Calibri"/>
                <w:b/>
                <w:color w:val="000000" w:themeColor="text1"/>
                <w:szCs w:val="20"/>
              </w:rPr>
            </w:pPr>
            <w:r w:rsidRPr="00FD642B">
              <w:rPr>
                <w:rFonts w:cs="Calibri"/>
                <w:b/>
                <w:color w:val="000000" w:themeColor="text1"/>
                <w:szCs w:val="20"/>
              </w:rPr>
              <w:t>Findings and Explanation</w:t>
            </w:r>
          </w:p>
        </w:tc>
        <w:tc>
          <w:tcPr>
            <w:tcW w:w="2880" w:type="dxa"/>
            <w:vMerge w:val="restart"/>
            <w:shd w:val="clear" w:color="auto" w:fill="BDD6EE" w:themeFill="accent5" w:themeFillTint="66"/>
            <w:vAlign w:val="center"/>
          </w:tcPr>
          <w:p w14:paraId="63C0CF39" w14:textId="77777777" w:rsidR="000D5E25" w:rsidRPr="00FD642B" w:rsidRDefault="000D5E25" w:rsidP="0025465C">
            <w:pPr>
              <w:rPr>
                <w:rFonts w:cs="Calibri"/>
                <w:b/>
                <w:color w:val="000000" w:themeColor="text1"/>
                <w:szCs w:val="20"/>
              </w:rPr>
            </w:pPr>
            <w:r w:rsidRPr="00FD642B">
              <w:rPr>
                <w:rFonts w:cs="Calibri"/>
                <w:b/>
                <w:color w:val="000000" w:themeColor="text1"/>
                <w:szCs w:val="20"/>
              </w:rPr>
              <w:t>Evidence or Means of Verification</w:t>
            </w:r>
          </w:p>
        </w:tc>
      </w:tr>
      <w:tr w:rsidR="000D5E25" w:rsidRPr="00BB32C7" w14:paraId="6E2611C8" w14:textId="77777777" w:rsidTr="00745D57">
        <w:trPr>
          <w:jc w:val="center"/>
        </w:trPr>
        <w:tc>
          <w:tcPr>
            <w:tcW w:w="544" w:type="dxa"/>
            <w:shd w:val="clear" w:color="auto" w:fill="ACB9CA" w:themeFill="text2" w:themeFillTint="66"/>
            <w:vAlign w:val="center"/>
          </w:tcPr>
          <w:p w14:paraId="3DF14522" w14:textId="77777777" w:rsidR="000D5E25" w:rsidRPr="00BB32C7" w:rsidRDefault="000D5E25" w:rsidP="0025465C">
            <w:pPr>
              <w:rPr>
                <w:rFonts w:cs="Calibri"/>
                <w:bCs/>
                <w:i/>
                <w:iCs/>
                <w:szCs w:val="20"/>
              </w:rPr>
            </w:pPr>
            <w:r w:rsidRPr="00BB32C7">
              <w:rPr>
                <w:rFonts w:cs="Calibri"/>
                <w:bCs/>
                <w:i/>
                <w:iCs/>
                <w:szCs w:val="20"/>
              </w:rPr>
              <w:t>N°</w:t>
            </w:r>
          </w:p>
        </w:tc>
        <w:tc>
          <w:tcPr>
            <w:tcW w:w="3174" w:type="dxa"/>
            <w:shd w:val="clear" w:color="auto" w:fill="ACB9CA" w:themeFill="text2" w:themeFillTint="66"/>
            <w:vAlign w:val="center"/>
          </w:tcPr>
          <w:p w14:paraId="6BF5ECB6" w14:textId="77777777" w:rsidR="000D5E25" w:rsidRPr="00BB32C7" w:rsidRDefault="000D5E25" w:rsidP="0025465C">
            <w:pPr>
              <w:rPr>
                <w:rFonts w:cs="Calibri"/>
                <w:bCs/>
                <w:i/>
                <w:iCs/>
                <w:szCs w:val="20"/>
              </w:rPr>
            </w:pPr>
            <w:r w:rsidRPr="00BB32C7">
              <w:rPr>
                <w:rFonts w:cs="Calibri"/>
                <w:bCs/>
                <w:i/>
                <w:iCs/>
                <w:szCs w:val="20"/>
              </w:rPr>
              <w:t>Formulation</w:t>
            </w:r>
          </w:p>
        </w:tc>
        <w:tc>
          <w:tcPr>
            <w:tcW w:w="846" w:type="dxa"/>
            <w:vMerge/>
            <w:vAlign w:val="center"/>
          </w:tcPr>
          <w:p w14:paraId="5486E745" w14:textId="77777777" w:rsidR="000D5E25" w:rsidRPr="00BB32C7" w:rsidRDefault="000D5E25" w:rsidP="0025465C">
            <w:pPr>
              <w:rPr>
                <w:rFonts w:cs="Calibri"/>
                <w:bCs/>
                <w:szCs w:val="20"/>
              </w:rPr>
            </w:pPr>
          </w:p>
        </w:tc>
        <w:tc>
          <w:tcPr>
            <w:tcW w:w="5220" w:type="dxa"/>
            <w:vMerge/>
            <w:vAlign w:val="center"/>
          </w:tcPr>
          <w:p w14:paraId="5663244C" w14:textId="77777777" w:rsidR="000D5E25" w:rsidRPr="00BB32C7" w:rsidRDefault="000D5E25" w:rsidP="0025465C">
            <w:pPr>
              <w:rPr>
                <w:rFonts w:cs="Calibri"/>
                <w:bCs/>
                <w:szCs w:val="20"/>
              </w:rPr>
            </w:pPr>
          </w:p>
        </w:tc>
        <w:tc>
          <w:tcPr>
            <w:tcW w:w="2880" w:type="dxa"/>
            <w:vMerge/>
            <w:vAlign w:val="center"/>
          </w:tcPr>
          <w:p w14:paraId="34745678" w14:textId="77777777" w:rsidR="000D5E25" w:rsidRPr="00BB32C7" w:rsidRDefault="000D5E25" w:rsidP="0025465C">
            <w:pPr>
              <w:rPr>
                <w:rFonts w:cs="Calibri"/>
                <w:bCs/>
                <w:szCs w:val="20"/>
              </w:rPr>
            </w:pPr>
          </w:p>
        </w:tc>
      </w:tr>
      <w:tr w:rsidR="000727A5" w:rsidRPr="00BB32C7" w14:paraId="56379AB0" w14:textId="77777777" w:rsidTr="006C2A43">
        <w:trPr>
          <w:trHeight w:val="152"/>
          <w:jc w:val="center"/>
        </w:trPr>
        <w:tc>
          <w:tcPr>
            <w:tcW w:w="544" w:type="dxa"/>
            <w:vAlign w:val="center"/>
          </w:tcPr>
          <w:p w14:paraId="45851DD7" w14:textId="3BD79230" w:rsidR="000727A5" w:rsidRPr="00BB32C7" w:rsidRDefault="000727A5" w:rsidP="000727A5">
            <w:pPr>
              <w:jc w:val="center"/>
              <w:rPr>
                <w:rFonts w:cs="Calibri"/>
                <w:bCs/>
                <w:szCs w:val="20"/>
              </w:rPr>
            </w:pPr>
            <w:r w:rsidRPr="00BB32C7">
              <w:rPr>
                <w:rFonts w:eastAsia="Verdana" w:cs="Verdana"/>
                <w:bCs/>
                <w:szCs w:val="20"/>
              </w:rPr>
              <w:t>1.1</w:t>
            </w:r>
          </w:p>
        </w:tc>
        <w:tc>
          <w:tcPr>
            <w:tcW w:w="3174" w:type="dxa"/>
            <w:vAlign w:val="center"/>
          </w:tcPr>
          <w:p w14:paraId="1ED6A86F" w14:textId="7D6EA68E" w:rsidR="000727A5" w:rsidRPr="00BB32C7" w:rsidRDefault="000727A5" w:rsidP="000727A5">
            <w:pPr>
              <w:rPr>
                <w:rFonts w:cs="Calibri"/>
                <w:bCs/>
                <w:color w:val="000000" w:themeColor="text1"/>
                <w:szCs w:val="20"/>
              </w:rPr>
            </w:pPr>
            <w:r w:rsidRPr="00BB32C7">
              <w:rPr>
                <w:rFonts w:eastAsia="Verdana" w:cs="Verdana"/>
                <w:bCs/>
                <w:color w:val="000000"/>
                <w:szCs w:val="20"/>
              </w:rPr>
              <w:t>Context analysis integrate gender analysis</w:t>
            </w:r>
          </w:p>
        </w:tc>
        <w:tc>
          <w:tcPr>
            <w:tcW w:w="846" w:type="dxa"/>
            <w:vAlign w:val="center"/>
          </w:tcPr>
          <w:p w14:paraId="2C08704F" w14:textId="44329EFD" w:rsidR="000727A5" w:rsidRPr="00BB32C7" w:rsidRDefault="00A6720D" w:rsidP="000727A5">
            <w:pPr>
              <w:jc w:val="center"/>
              <w:rPr>
                <w:rFonts w:cs="Calibri"/>
                <w:bCs/>
                <w:szCs w:val="20"/>
              </w:rPr>
            </w:pPr>
            <w:r w:rsidRPr="00BB32C7">
              <w:rPr>
                <w:rFonts w:eastAsia="Verdana" w:cs="Verdana"/>
                <w:bCs/>
                <w:szCs w:val="20"/>
              </w:rPr>
              <w:t>2</w:t>
            </w:r>
          </w:p>
        </w:tc>
        <w:tc>
          <w:tcPr>
            <w:tcW w:w="5220" w:type="dxa"/>
            <w:tcBorders>
              <w:top w:val="single" w:sz="8" w:space="0" w:color="000000"/>
              <w:left w:val="single" w:sz="8" w:space="0" w:color="000000"/>
              <w:bottom w:val="single" w:sz="8" w:space="0" w:color="000000"/>
              <w:right w:val="single" w:sz="8" w:space="0" w:color="000000"/>
            </w:tcBorders>
          </w:tcPr>
          <w:p w14:paraId="7A43F139" w14:textId="77777777" w:rsidR="000727A5" w:rsidRPr="00BB32C7" w:rsidRDefault="000727A5" w:rsidP="000727A5">
            <w:pPr>
              <w:spacing w:before="240" w:line="276" w:lineRule="auto"/>
              <w:rPr>
                <w:rFonts w:eastAsia="Verdana" w:cs="Verdana"/>
                <w:bCs/>
                <w:szCs w:val="20"/>
              </w:rPr>
            </w:pPr>
            <w:r w:rsidRPr="00BB32C7">
              <w:rPr>
                <w:rFonts w:eastAsia="Verdana" w:cs="Verdana"/>
                <w:bCs/>
                <w:szCs w:val="20"/>
              </w:rPr>
              <w:t>a) Baseline and situation analysis does not adequately cover underlying causes of gender inequality and discrimination, and these are not systematically described. No specific analysis of comparative advantage of PUNOs to address gender inequality.</w:t>
            </w:r>
          </w:p>
          <w:p w14:paraId="7E4180BA" w14:textId="77777777" w:rsidR="00D9623E" w:rsidRPr="00BB32C7" w:rsidRDefault="000727A5" w:rsidP="000727A5">
            <w:pPr>
              <w:spacing w:before="240" w:line="276" w:lineRule="auto"/>
              <w:rPr>
                <w:rFonts w:eastAsia="Verdana" w:cs="Verdana"/>
                <w:bCs/>
                <w:szCs w:val="20"/>
              </w:rPr>
            </w:pPr>
            <w:r w:rsidRPr="00BB32C7">
              <w:rPr>
                <w:rFonts w:eastAsia="Verdana" w:cs="Verdana"/>
                <w:bCs/>
                <w:szCs w:val="20"/>
              </w:rPr>
              <w:t>b) Sex-disaggregated data is minimal.</w:t>
            </w:r>
          </w:p>
          <w:p w14:paraId="5AC95333" w14:textId="52901DA5" w:rsidR="000727A5" w:rsidRPr="0017119A" w:rsidRDefault="00A6720D" w:rsidP="0017119A">
            <w:pPr>
              <w:spacing w:before="240" w:line="276" w:lineRule="auto"/>
              <w:rPr>
                <w:rFonts w:eastAsia="Verdana" w:cs="Verdana"/>
                <w:bCs/>
                <w:szCs w:val="20"/>
              </w:rPr>
            </w:pPr>
            <w:r w:rsidRPr="00BB32C7">
              <w:rPr>
                <w:bCs/>
                <w:szCs w:val="20"/>
              </w:rPr>
              <w:t xml:space="preserve">c) Hence it is noted, </w:t>
            </w:r>
            <w:r w:rsidRPr="00BB32C7">
              <w:rPr>
                <w:rFonts w:cs="Calibri"/>
                <w:bCs/>
                <w:szCs w:val="20"/>
              </w:rPr>
              <w:t xml:space="preserve">throughout the joint work with </w:t>
            </w:r>
            <w:r w:rsidR="0017119A">
              <w:rPr>
                <w:rFonts w:cs="Calibri"/>
                <w:bCs/>
                <w:szCs w:val="20"/>
              </w:rPr>
              <w:t>G</w:t>
            </w:r>
            <w:r w:rsidRPr="00BB32C7">
              <w:rPr>
                <w:rFonts w:cs="Calibri"/>
                <w:bCs/>
                <w:szCs w:val="20"/>
              </w:rPr>
              <w:t xml:space="preserve">overnmental institutions </w:t>
            </w:r>
            <w:r w:rsidR="0017119A">
              <w:rPr>
                <w:rFonts w:cs="Calibri"/>
                <w:bCs/>
                <w:szCs w:val="20"/>
              </w:rPr>
              <w:t>such as MoGFSS, PO, MoF, MNPI and NBS</w:t>
            </w:r>
            <w:r w:rsidRPr="00BB32C7">
              <w:rPr>
                <w:rFonts w:cs="Calibri"/>
                <w:bCs/>
                <w:szCs w:val="20"/>
              </w:rPr>
              <w:t xml:space="preserve"> to build the</w:t>
            </w:r>
            <w:r w:rsidR="0017119A">
              <w:rPr>
                <w:rFonts w:cs="Calibri"/>
                <w:bCs/>
                <w:szCs w:val="20"/>
              </w:rPr>
              <w:t xml:space="preserve"> </w:t>
            </w:r>
            <w:r w:rsidRPr="00BB32C7">
              <w:rPr>
                <w:rFonts w:cs="Calibri"/>
                <w:bCs/>
                <w:szCs w:val="20"/>
              </w:rPr>
              <w:t xml:space="preserve">JP, the specific challenge of assessing the impact of SDG financing on women has been discussed. Although the findings were that this impact </w:t>
            </w:r>
            <w:r w:rsidRPr="00BB32C7">
              <w:rPr>
                <w:rFonts w:cs="Calibri"/>
                <w:bCs/>
                <w:szCs w:val="20"/>
              </w:rPr>
              <w:lastRenderedPageBreak/>
              <w:t xml:space="preserve">cannot be adequately measured, therefore leading to a lack of disaggregated information in the problem statement, these findings provoked </w:t>
            </w:r>
            <w:r w:rsidRPr="00931E79">
              <w:rPr>
                <w:rFonts w:cs="Calibri"/>
                <w:bCs/>
                <w:color w:val="FF0000"/>
                <w:szCs w:val="20"/>
              </w:rPr>
              <w:t xml:space="preserve">an inclusion of gender perspective in the INFF, including </w:t>
            </w:r>
            <w:r w:rsidR="001133AD" w:rsidRPr="00931E79">
              <w:rPr>
                <w:rFonts w:cs="Calibri"/>
                <w:bCs/>
                <w:color w:val="FF0000"/>
                <w:szCs w:val="20"/>
              </w:rPr>
              <w:t xml:space="preserve">disaggregated data on SDG costing, gender responsive budgeting audit and ensuring the full-fledged INFF committee is gender balanced. </w:t>
            </w:r>
          </w:p>
        </w:tc>
        <w:tc>
          <w:tcPr>
            <w:tcW w:w="2880" w:type="dxa"/>
            <w:vAlign w:val="center"/>
          </w:tcPr>
          <w:p w14:paraId="7D525A6F" w14:textId="17A922AC" w:rsidR="000727A5" w:rsidRPr="00BB32C7" w:rsidRDefault="000727A5" w:rsidP="000727A5">
            <w:pPr>
              <w:rPr>
                <w:rFonts w:eastAsia="Verdana" w:cs="Verdana"/>
                <w:bCs/>
                <w:szCs w:val="20"/>
              </w:rPr>
            </w:pPr>
            <w:r w:rsidRPr="00BB32C7">
              <w:rPr>
                <w:rFonts w:eastAsia="Verdana" w:cs="Verdana"/>
                <w:bCs/>
                <w:szCs w:val="20"/>
              </w:rPr>
              <w:lastRenderedPageBreak/>
              <w:t>JP document</w:t>
            </w:r>
            <w:r w:rsidR="00907009" w:rsidRPr="00BB32C7">
              <w:rPr>
                <w:rFonts w:eastAsia="Verdana" w:cs="Verdana"/>
                <w:bCs/>
                <w:szCs w:val="20"/>
              </w:rPr>
              <w:t xml:space="preserve"> see sections:</w:t>
            </w:r>
          </w:p>
          <w:p w14:paraId="2A083001" w14:textId="77777777" w:rsidR="00A6720D" w:rsidRPr="00BB32C7" w:rsidRDefault="00A6720D" w:rsidP="000727A5">
            <w:pPr>
              <w:rPr>
                <w:rFonts w:eastAsia="Verdana" w:cs="Verdana"/>
                <w:bCs/>
                <w:szCs w:val="20"/>
              </w:rPr>
            </w:pPr>
            <w:r w:rsidRPr="00BB32C7">
              <w:rPr>
                <w:rFonts w:eastAsia="Verdana" w:cs="Verdana"/>
                <w:bCs/>
                <w:szCs w:val="20"/>
              </w:rPr>
              <w:t xml:space="preserve">1.1 Problem Statement </w:t>
            </w:r>
          </w:p>
          <w:p w14:paraId="4ED7C64B" w14:textId="77777777" w:rsidR="001569F5" w:rsidRPr="00BB32C7" w:rsidRDefault="00A6720D" w:rsidP="001569F5">
            <w:pPr>
              <w:rPr>
                <w:rFonts w:cs="Calibri"/>
                <w:bCs/>
                <w:szCs w:val="20"/>
                <w:lang w:val="id-ID"/>
              </w:rPr>
            </w:pPr>
            <w:r w:rsidRPr="00BB32C7">
              <w:rPr>
                <w:rFonts w:cs="Calibri"/>
                <w:bCs/>
                <w:szCs w:val="20"/>
                <w:lang w:val="id-ID"/>
              </w:rPr>
              <w:t xml:space="preserve">2.1. overall </w:t>
            </w:r>
            <w:r w:rsidR="001569F5" w:rsidRPr="00BB32C7">
              <w:rPr>
                <w:rFonts w:cs="Calibri"/>
                <w:bCs/>
                <w:szCs w:val="20"/>
              </w:rPr>
              <w:t xml:space="preserve">programme </w:t>
            </w:r>
            <w:r w:rsidRPr="00BB32C7">
              <w:rPr>
                <w:rFonts w:cs="Calibri"/>
                <w:bCs/>
                <w:szCs w:val="20"/>
                <w:lang w:val="id-ID"/>
              </w:rPr>
              <w:t>strategy</w:t>
            </w:r>
          </w:p>
          <w:p w14:paraId="3F71860C" w14:textId="70388AD2" w:rsidR="001569F5" w:rsidRPr="00BB32C7" w:rsidRDefault="001569F5" w:rsidP="001569F5">
            <w:pPr>
              <w:rPr>
                <w:rFonts w:cs="Calibri"/>
                <w:bCs/>
                <w:szCs w:val="20"/>
              </w:rPr>
            </w:pPr>
            <w:r w:rsidRPr="00BB32C7">
              <w:rPr>
                <w:rFonts w:cs="Calibri"/>
                <w:bCs/>
                <w:szCs w:val="20"/>
              </w:rPr>
              <w:t xml:space="preserve">2.3 </w:t>
            </w:r>
            <w:r w:rsidRPr="00BB32C7">
              <w:rPr>
                <w:bCs/>
                <w:color w:val="000000" w:themeColor="text1"/>
                <w:szCs w:val="20"/>
              </w:rPr>
              <w:t>Expected results by outcome and outputs</w:t>
            </w:r>
          </w:p>
          <w:p w14:paraId="7889B6D2" w14:textId="27674291" w:rsidR="00A6720D" w:rsidRPr="00BB32C7" w:rsidRDefault="001569F5" w:rsidP="001569F5">
            <w:pPr>
              <w:rPr>
                <w:bCs/>
                <w:szCs w:val="20"/>
              </w:rPr>
            </w:pPr>
            <w:r w:rsidRPr="00BB32C7">
              <w:rPr>
                <w:bCs/>
                <w:szCs w:val="20"/>
              </w:rPr>
              <w:t>2.4 (paragraph on gender)</w:t>
            </w:r>
          </w:p>
        </w:tc>
      </w:tr>
      <w:tr w:rsidR="000727A5" w:rsidRPr="00BB32C7" w14:paraId="7C33CFFE" w14:textId="77777777" w:rsidTr="00745D57">
        <w:trPr>
          <w:jc w:val="center"/>
        </w:trPr>
        <w:tc>
          <w:tcPr>
            <w:tcW w:w="544" w:type="dxa"/>
            <w:vAlign w:val="center"/>
          </w:tcPr>
          <w:p w14:paraId="2E362A48" w14:textId="1DE08DA4" w:rsidR="000727A5" w:rsidRPr="00BB32C7" w:rsidRDefault="000727A5" w:rsidP="000727A5">
            <w:pPr>
              <w:jc w:val="center"/>
              <w:rPr>
                <w:rFonts w:cs="Calibri"/>
                <w:bCs/>
                <w:szCs w:val="20"/>
              </w:rPr>
            </w:pPr>
            <w:r w:rsidRPr="00BB32C7">
              <w:rPr>
                <w:rFonts w:eastAsia="Verdana" w:cs="Verdana"/>
                <w:bCs/>
                <w:szCs w:val="20"/>
              </w:rPr>
              <w:t>1.2</w:t>
            </w:r>
          </w:p>
        </w:tc>
        <w:tc>
          <w:tcPr>
            <w:tcW w:w="3174" w:type="dxa"/>
            <w:vAlign w:val="center"/>
          </w:tcPr>
          <w:p w14:paraId="6F00C58C" w14:textId="70186FEE" w:rsidR="000727A5" w:rsidRPr="00BB32C7" w:rsidRDefault="000727A5" w:rsidP="000727A5">
            <w:pPr>
              <w:rPr>
                <w:rFonts w:cs="Calibri"/>
                <w:bCs/>
                <w:color w:val="000000" w:themeColor="text1"/>
                <w:szCs w:val="20"/>
              </w:rPr>
            </w:pPr>
            <w:r w:rsidRPr="00BB32C7">
              <w:rPr>
                <w:rFonts w:eastAsia="Verdana" w:cs="Verdana"/>
                <w:bCs/>
                <w:color w:val="000000"/>
                <w:szCs w:val="20"/>
              </w:rPr>
              <w:t>Gender Equality mainstreamed in proposed outputs</w:t>
            </w:r>
          </w:p>
        </w:tc>
        <w:tc>
          <w:tcPr>
            <w:tcW w:w="846" w:type="dxa"/>
            <w:vAlign w:val="center"/>
          </w:tcPr>
          <w:p w14:paraId="0BA7914F" w14:textId="6701C318" w:rsidR="000727A5" w:rsidRPr="00BB32C7" w:rsidRDefault="003303CD" w:rsidP="000727A5">
            <w:pPr>
              <w:jc w:val="center"/>
              <w:rPr>
                <w:rFonts w:cs="Calibri"/>
                <w:bCs/>
                <w:szCs w:val="20"/>
              </w:rPr>
            </w:pPr>
            <w:r>
              <w:rPr>
                <w:rFonts w:eastAsia="Verdana" w:cs="Verdana"/>
                <w:bCs/>
                <w:szCs w:val="20"/>
              </w:rPr>
              <w:t>3</w:t>
            </w:r>
          </w:p>
        </w:tc>
        <w:tc>
          <w:tcPr>
            <w:tcW w:w="5220" w:type="dxa"/>
            <w:vAlign w:val="center"/>
          </w:tcPr>
          <w:p w14:paraId="755D9F77" w14:textId="77777777" w:rsidR="000727A5" w:rsidRPr="00BB32C7" w:rsidRDefault="000727A5" w:rsidP="000727A5">
            <w:pPr>
              <w:rPr>
                <w:rFonts w:eastAsia="Verdana" w:cs="Verdana"/>
                <w:bCs/>
                <w:szCs w:val="20"/>
              </w:rPr>
            </w:pPr>
          </w:p>
          <w:p w14:paraId="23BB9D88" w14:textId="1657F5EB" w:rsidR="000727A5" w:rsidRPr="00BB32C7" w:rsidRDefault="000727A5" w:rsidP="000727A5">
            <w:pPr>
              <w:rPr>
                <w:rFonts w:eastAsia="Verdana" w:cs="Verdana"/>
                <w:bCs/>
                <w:szCs w:val="20"/>
              </w:rPr>
            </w:pPr>
            <w:r w:rsidRPr="00BB32C7">
              <w:rPr>
                <w:rFonts w:eastAsia="Verdana" w:cs="Verdana"/>
                <w:bCs/>
                <w:szCs w:val="20"/>
              </w:rPr>
              <w:t>a) The JP consists of three outcome areas</w:t>
            </w:r>
            <w:r w:rsidR="00752E9A" w:rsidRPr="00BB32C7">
              <w:rPr>
                <w:rFonts w:eastAsia="Verdana" w:cs="Verdana"/>
                <w:bCs/>
                <w:szCs w:val="20"/>
              </w:rPr>
              <w:t xml:space="preserve"> where </w:t>
            </w:r>
            <w:r w:rsidRPr="00BB32C7">
              <w:rPr>
                <w:rFonts w:eastAsia="Verdana" w:cs="Verdana"/>
                <w:bCs/>
                <w:szCs w:val="20"/>
              </w:rPr>
              <w:t xml:space="preserve">Gender is visibly mainstreamed across </w:t>
            </w:r>
            <w:r w:rsidR="00752E9A" w:rsidRPr="00BB32C7">
              <w:rPr>
                <w:rFonts w:eastAsia="Verdana" w:cs="Verdana"/>
                <w:bCs/>
                <w:szCs w:val="20"/>
              </w:rPr>
              <w:t xml:space="preserve">all </w:t>
            </w:r>
            <w:r w:rsidRPr="00BB32C7">
              <w:rPr>
                <w:rFonts w:eastAsia="Verdana" w:cs="Verdana"/>
                <w:bCs/>
                <w:szCs w:val="20"/>
              </w:rPr>
              <w:t>outcome</w:t>
            </w:r>
            <w:r w:rsidR="00752E9A" w:rsidRPr="00BB32C7">
              <w:rPr>
                <w:rFonts w:eastAsia="Verdana" w:cs="Verdana"/>
                <w:bCs/>
                <w:szCs w:val="20"/>
              </w:rPr>
              <w:t>s</w:t>
            </w:r>
            <w:r w:rsidRPr="00BB32C7">
              <w:rPr>
                <w:rFonts w:eastAsia="Verdana" w:cs="Verdana"/>
                <w:bCs/>
                <w:szCs w:val="20"/>
              </w:rPr>
              <w:t xml:space="preserve"> </w:t>
            </w:r>
            <w:r w:rsidR="00752E9A" w:rsidRPr="00BB32C7">
              <w:rPr>
                <w:rFonts w:eastAsia="Verdana" w:cs="Verdana"/>
                <w:bCs/>
                <w:szCs w:val="20"/>
              </w:rPr>
              <w:t xml:space="preserve">and </w:t>
            </w:r>
            <w:r w:rsidRPr="00BB32C7">
              <w:rPr>
                <w:rFonts w:eastAsia="Verdana" w:cs="Verdana"/>
                <w:bCs/>
                <w:szCs w:val="20"/>
              </w:rPr>
              <w:t>in line with SDG priorities</w:t>
            </w:r>
            <w:r w:rsidR="006D1D82">
              <w:rPr>
                <w:rFonts w:eastAsia="Verdana" w:cs="Verdana"/>
                <w:bCs/>
                <w:szCs w:val="20"/>
              </w:rPr>
              <w:t xml:space="preserve"> </w:t>
            </w:r>
            <w:r w:rsidRPr="00BB32C7">
              <w:rPr>
                <w:rFonts w:eastAsia="Verdana" w:cs="Verdana"/>
                <w:bCs/>
                <w:szCs w:val="20"/>
              </w:rPr>
              <w:t xml:space="preserve">including SDG 5. </w:t>
            </w:r>
          </w:p>
          <w:p w14:paraId="6F972346" w14:textId="77777777" w:rsidR="000727A5" w:rsidRPr="00BB32C7" w:rsidRDefault="000727A5" w:rsidP="000727A5">
            <w:pPr>
              <w:rPr>
                <w:rFonts w:eastAsia="Verdana" w:cs="Verdana"/>
                <w:bCs/>
                <w:szCs w:val="20"/>
              </w:rPr>
            </w:pPr>
          </w:p>
          <w:p w14:paraId="121F916C" w14:textId="77777777" w:rsidR="00E502D6" w:rsidRPr="00BB32C7" w:rsidRDefault="00E502D6" w:rsidP="000727A5">
            <w:pPr>
              <w:rPr>
                <w:rFonts w:eastAsia="Verdana" w:cs="Verdana"/>
                <w:bCs/>
                <w:szCs w:val="20"/>
              </w:rPr>
            </w:pPr>
          </w:p>
          <w:p w14:paraId="51BB1B74" w14:textId="56CEDBE9" w:rsidR="00E502D6" w:rsidRPr="00BB32C7" w:rsidRDefault="009F764F" w:rsidP="000727A5">
            <w:pPr>
              <w:rPr>
                <w:rFonts w:eastAsia="Verdana" w:cs="Verdana"/>
                <w:bCs/>
                <w:szCs w:val="20"/>
              </w:rPr>
            </w:pPr>
            <w:r w:rsidRPr="00BB32C7">
              <w:rPr>
                <w:rFonts w:eastAsia="Verdana" w:cs="Verdana"/>
                <w:bCs/>
                <w:szCs w:val="20"/>
              </w:rPr>
              <w:t>b</w:t>
            </w:r>
            <w:r w:rsidR="00E502D6" w:rsidRPr="00BB32C7">
              <w:rPr>
                <w:rFonts w:eastAsia="Verdana" w:cs="Verdana"/>
                <w:bCs/>
                <w:szCs w:val="20"/>
              </w:rPr>
              <w:t xml:space="preserve">) </w:t>
            </w:r>
            <w:r w:rsidR="00E502D6" w:rsidRPr="00BB32C7">
              <w:rPr>
                <w:rFonts w:cs="Calibri"/>
                <w:bCs/>
                <w:szCs w:val="20"/>
              </w:rPr>
              <w:t>The JP will promote inclusion of gender aspects in</w:t>
            </w:r>
            <w:r w:rsidR="00E502D6" w:rsidRPr="00BB32C7">
              <w:rPr>
                <w:rFonts w:eastAsia="Verdana" w:cs="Verdana"/>
                <w:bCs/>
                <w:szCs w:val="20"/>
              </w:rPr>
              <w:t xml:space="preserve"> the following outputs</w:t>
            </w:r>
            <w:r w:rsidRPr="00BB32C7">
              <w:rPr>
                <w:rFonts w:eastAsia="Verdana" w:cs="Verdana"/>
                <w:bCs/>
                <w:szCs w:val="20"/>
              </w:rPr>
              <w:t xml:space="preserve"> specifically addressing gender inequality in line with SDG 5</w:t>
            </w:r>
          </w:p>
          <w:p w14:paraId="609B1C0D" w14:textId="00EBB4DE" w:rsidR="009F764F" w:rsidRPr="00BB32C7" w:rsidRDefault="009F764F" w:rsidP="000727A5">
            <w:pPr>
              <w:rPr>
                <w:rFonts w:eastAsia="Verdana" w:cs="Verdana"/>
                <w:bCs/>
                <w:szCs w:val="20"/>
              </w:rPr>
            </w:pPr>
            <w:r w:rsidRPr="00BB32C7">
              <w:rPr>
                <w:rFonts w:eastAsia="Verdana" w:cs="Verdana"/>
                <w:bCs/>
                <w:szCs w:val="20"/>
              </w:rPr>
              <w:t>Output 1.2 In-depth gender responsive costing of social sector reforms completed for achieving quality, equity and sustainability in services</w:t>
            </w:r>
          </w:p>
          <w:p w14:paraId="4F41D420" w14:textId="6D6063B7" w:rsidR="00E502D6" w:rsidRPr="00BB32C7" w:rsidRDefault="00E502D6" w:rsidP="000727A5">
            <w:pPr>
              <w:rPr>
                <w:rFonts w:eastAsia="Verdana" w:cs="Verdana"/>
                <w:bCs/>
                <w:szCs w:val="20"/>
              </w:rPr>
            </w:pPr>
            <w:r w:rsidRPr="00BB32C7">
              <w:rPr>
                <w:rFonts w:eastAsia="Verdana" w:cs="Verdana"/>
                <w:bCs/>
                <w:szCs w:val="20"/>
              </w:rPr>
              <w:t>Output 2.1. A gender-responsive integrated financing strategy is articulated</w:t>
            </w:r>
            <w:r w:rsidRPr="00BB32C7" w:rsidDel="009936D9">
              <w:rPr>
                <w:rFonts w:eastAsia="Verdana" w:cs="Verdana"/>
                <w:bCs/>
                <w:szCs w:val="20"/>
              </w:rPr>
              <w:t xml:space="preserve"> </w:t>
            </w:r>
          </w:p>
          <w:p w14:paraId="228AA1A7" w14:textId="2425F4F2" w:rsidR="009936D9" w:rsidRPr="000C55F7" w:rsidRDefault="00C07AEC" w:rsidP="000727A5">
            <w:pPr>
              <w:rPr>
                <w:rFonts w:eastAsia="Verdana" w:cs="Verdana"/>
                <w:bCs/>
                <w:color w:val="FF0000"/>
                <w:szCs w:val="20"/>
              </w:rPr>
            </w:pPr>
            <w:r w:rsidRPr="00BB32C7">
              <w:rPr>
                <w:rFonts w:eastAsia="Verdana" w:cs="Verdana"/>
                <w:bCs/>
                <w:szCs w:val="20"/>
              </w:rPr>
              <w:t>Output 2.2</w:t>
            </w:r>
            <w:r w:rsidR="009936D9" w:rsidRPr="000C55F7">
              <w:rPr>
                <w:rFonts w:eastAsia="Verdana" w:cs="Verdana"/>
                <w:bCs/>
                <w:color w:val="FF0000"/>
                <w:szCs w:val="20"/>
              </w:rPr>
              <w:t>.</w:t>
            </w:r>
            <w:r w:rsidRPr="000C55F7">
              <w:rPr>
                <w:rFonts w:eastAsia="Verdana" w:cs="Verdana"/>
                <w:bCs/>
                <w:color w:val="FF0000"/>
                <w:szCs w:val="20"/>
              </w:rPr>
              <w:t xml:space="preserve"> </w:t>
            </w:r>
            <w:r w:rsidR="00E502D6" w:rsidRPr="000C55F7">
              <w:rPr>
                <w:rFonts w:eastAsia="Verdana" w:cs="Verdana"/>
                <w:bCs/>
                <w:color w:val="FF0000"/>
                <w:szCs w:val="20"/>
              </w:rPr>
              <w:t xml:space="preserve">Implementation of a gender responsive integrated financing strategy </w:t>
            </w:r>
            <w:r w:rsidR="00CD6534" w:rsidRPr="000C55F7">
              <w:rPr>
                <w:rFonts w:eastAsia="Verdana" w:cs="Verdana"/>
                <w:bCs/>
                <w:color w:val="FF0000"/>
                <w:szCs w:val="20"/>
              </w:rPr>
              <w:t>supported including</w:t>
            </w:r>
            <w:r w:rsidR="001569F5" w:rsidRPr="000C55F7">
              <w:rPr>
                <w:rFonts w:eastAsia="Verdana" w:cs="Verdana"/>
                <w:bCs/>
                <w:color w:val="FF0000"/>
                <w:szCs w:val="20"/>
              </w:rPr>
              <w:t xml:space="preserve"> building the capacity of the line ministries to conduct gender audits of Budgets.</w:t>
            </w:r>
          </w:p>
          <w:p w14:paraId="14312F77" w14:textId="5D885D0A" w:rsidR="000727A5" w:rsidRPr="000C55F7" w:rsidRDefault="00752E9A" w:rsidP="000727A5">
            <w:pPr>
              <w:rPr>
                <w:rFonts w:eastAsia="Verdana" w:cs="Verdana"/>
                <w:bCs/>
                <w:color w:val="FF0000"/>
                <w:szCs w:val="20"/>
              </w:rPr>
            </w:pPr>
            <w:r w:rsidRPr="000C55F7">
              <w:rPr>
                <w:rFonts w:eastAsia="Verdana" w:cs="Verdana"/>
                <w:bCs/>
                <w:color w:val="FF0000"/>
                <w:szCs w:val="20"/>
              </w:rPr>
              <w:t>Output 3.1: Design of a gender balanced full-fledged INFF oversight committee completed and the committee is functional</w:t>
            </w:r>
          </w:p>
          <w:p w14:paraId="367E4A82" w14:textId="5F69B550" w:rsidR="000727A5" w:rsidRPr="00BB32C7" w:rsidRDefault="000727A5" w:rsidP="00752E9A">
            <w:pPr>
              <w:jc w:val="both"/>
              <w:rPr>
                <w:rFonts w:cs="Calibri"/>
                <w:bCs/>
                <w:szCs w:val="20"/>
              </w:rPr>
            </w:pPr>
          </w:p>
        </w:tc>
        <w:tc>
          <w:tcPr>
            <w:tcW w:w="2880" w:type="dxa"/>
            <w:vAlign w:val="center"/>
          </w:tcPr>
          <w:p w14:paraId="1A3280DA" w14:textId="77126549" w:rsidR="000727A5" w:rsidRPr="00BB32C7" w:rsidRDefault="000727A5" w:rsidP="000727A5">
            <w:pPr>
              <w:rPr>
                <w:rFonts w:eastAsia="Verdana" w:cs="Verdana"/>
                <w:bCs/>
                <w:szCs w:val="20"/>
              </w:rPr>
            </w:pPr>
            <w:r w:rsidRPr="00BB32C7">
              <w:rPr>
                <w:rFonts w:eastAsia="Verdana" w:cs="Verdana"/>
                <w:bCs/>
                <w:szCs w:val="20"/>
              </w:rPr>
              <w:t>JP Document</w:t>
            </w:r>
            <w:r w:rsidR="009F764F" w:rsidRPr="00BB32C7">
              <w:rPr>
                <w:rFonts w:eastAsia="Verdana" w:cs="Verdana"/>
                <w:bCs/>
                <w:szCs w:val="20"/>
              </w:rPr>
              <w:t xml:space="preserve"> see sections</w:t>
            </w:r>
          </w:p>
          <w:p w14:paraId="347125D5" w14:textId="478200E7" w:rsidR="001569F5" w:rsidRPr="00BB32C7" w:rsidRDefault="001569F5" w:rsidP="001569F5">
            <w:pPr>
              <w:rPr>
                <w:rFonts w:cs="Calibri"/>
                <w:bCs/>
                <w:szCs w:val="20"/>
              </w:rPr>
            </w:pPr>
            <w:r w:rsidRPr="00BB32C7">
              <w:rPr>
                <w:rFonts w:cs="Calibri"/>
                <w:bCs/>
                <w:szCs w:val="20"/>
              </w:rPr>
              <w:t xml:space="preserve">2.3 </w:t>
            </w:r>
            <w:r w:rsidRPr="00BB32C7">
              <w:rPr>
                <w:bCs/>
                <w:color w:val="000000" w:themeColor="text1"/>
                <w:szCs w:val="20"/>
              </w:rPr>
              <w:t>Expected results by outcome and outputs</w:t>
            </w:r>
          </w:p>
          <w:p w14:paraId="4707335F" w14:textId="77777777" w:rsidR="001569F5" w:rsidRPr="00BB32C7" w:rsidRDefault="001569F5" w:rsidP="001569F5">
            <w:pPr>
              <w:rPr>
                <w:bCs/>
                <w:szCs w:val="20"/>
              </w:rPr>
            </w:pPr>
            <w:r w:rsidRPr="00BB32C7">
              <w:rPr>
                <w:bCs/>
                <w:szCs w:val="20"/>
              </w:rPr>
              <w:t>2.4 (paragraph on gender)</w:t>
            </w:r>
          </w:p>
          <w:p w14:paraId="25FD29A8" w14:textId="6EDD9E1A" w:rsidR="00A6720D" w:rsidRPr="00BB32C7" w:rsidRDefault="009F764F" w:rsidP="001569F5">
            <w:pPr>
              <w:rPr>
                <w:rFonts w:cs="Calibri"/>
                <w:bCs/>
                <w:szCs w:val="20"/>
              </w:rPr>
            </w:pPr>
            <w:r w:rsidRPr="00BB32C7">
              <w:rPr>
                <w:rFonts w:cs="Calibri"/>
                <w:bCs/>
                <w:szCs w:val="20"/>
              </w:rPr>
              <w:t>Annex 2.2</w:t>
            </w:r>
            <w:r w:rsidR="00A6720D" w:rsidRPr="00BB32C7">
              <w:rPr>
                <w:rFonts w:cs="Calibri"/>
                <w:bCs/>
                <w:szCs w:val="20"/>
              </w:rPr>
              <w:t xml:space="preserve"> Joint Programme Results Framework</w:t>
            </w:r>
          </w:p>
        </w:tc>
      </w:tr>
      <w:tr w:rsidR="000727A5" w:rsidRPr="00BB32C7" w14:paraId="6E7FB64D" w14:textId="77777777" w:rsidTr="00745D57">
        <w:trPr>
          <w:jc w:val="center"/>
        </w:trPr>
        <w:tc>
          <w:tcPr>
            <w:tcW w:w="544" w:type="dxa"/>
            <w:vAlign w:val="center"/>
          </w:tcPr>
          <w:p w14:paraId="6ABF4BCA" w14:textId="73C38738" w:rsidR="000727A5" w:rsidRPr="00BB32C7" w:rsidRDefault="000727A5" w:rsidP="000727A5">
            <w:pPr>
              <w:jc w:val="center"/>
              <w:rPr>
                <w:rFonts w:cs="Calibri"/>
                <w:bCs/>
                <w:szCs w:val="20"/>
              </w:rPr>
            </w:pPr>
            <w:r w:rsidRPr="00BB32C7">
              <w:rPr>
                <w:rFonts w:eastAsia="Verdana" w:cs="Verdana"/>
                <w:bCs/>
                <w:szCs w:val="20"/>
              </w:rPr>
              <w:t>1.3</w:t>
            </w:r>
          </w:p>
        </w:tc>
        <w:tc>
          <w:tcPr>
            <w:tcW w:w="3174" w:type="dxa"/>
            <w:vAlign w:val="center"/>
          </w:tcPr>
          <w:p w14:paraId="47CB82C9" w14:textId="14CCF82E" w:rsidR="000727A5" w:rsidRPr="00BB32C7" w:rsidRDefault="000727A5" w:rsidP="000727A5">
            <w:pPr>
              <w:rPr>
                <w:rFonts w:cs="Calibri"/>
                <w:bCs/>
                <w:color w:val="000000" w:themeColor="text1"/>
                <w:szCs w:val="20"/>
              </w:rPr>
            </w:pPr>
            <w:r w:rsidRPr="00BB32C7">
              <w:rPr>
                <w:rFonts w:eastAsia="Verdana" w:cs="Verdana"/>
                <w:bCs/>
                <w:color w:val="000000"/>
                <w:szCs w:val="20"/>
              </w:rPr>
              <w:t>Programme output indicators measure changes on gender equality</w:t>
            </w:r>
          </w:p>
        </w:tc>
        <w:tc>
          <w:tcPr>
            <w:tcW w:w="846" w:type="dxa"/>
            <w:vAlign w:val="center"/>
          </w:tcPr>
          <w:p w14:paraId="65654344" w14:textId="6E1DC8A6" w:rsidR="000727A5" w:rsidRPr="00BB32C7" w:rsidRDefault="00605A41" w:rsidP="000727A5">
            <w:pPr>
              <w:jc w:val="center"/>
              <w:rPr>
                <w:rFonts w:cs="Calibri"/>
                <w:bCs/>
                <w:szCs w:val="20"/>
              </w:rPr>
            </w:pPr>
            <w:r>
              <w:rPr>
                <w:rFonts w:cs="Calibri"/>
                <w:bCs/>
                <w:szCs w:val="20"/>
              </w:rPr>
              <w:t>3</w:t>
            </w:r>
          </w:p>
        </w:tc>
        <w:tc>
          <w:tcPr>
            <w:tcW w:w="5220" w:type="dxa"/>
            <w:vAlign w:val="center"/>
          </w:tcPr>
          <w:p w14:paraId="17925A7B" w14:textId="2DA77F7A" w:rsidR="00752E9A" w:rsidRPr="00BB32C7" w:rsidRDefault="00835D46" w:rsidP="000727A5">
            <w:pPr>
              <w:rPr>
                <w:rFonts w:eastAsia="Verdana" w:cs="Verdana"/>
                <w:bCs/>
                <w:szCs w:val="20"/>
              </w:rPr>
            </w:pPr>
            <w:r w:rsidRPr="00BB32C7">
              <w:rPr>
                <w:rFonts w:eastAsia="Times New Roman"/>
                <w:bCs/>
                <w:color w:val="000000" w:themeColor="text1"/>
                <w:szCs w:val="20"/>
                <w:lang w:eastAsia="en-GB"/>
              </w:rPr>
              <w:t>The following output indicators will specifically measure changes on gender equality</w:t>
            </w:r>
            <w:r w:rsidR="00752E9A" w:rsidRPr="00BB32C7">
              <w:rPr>
                <w:rFonts w:eastAsia="Verdana" w:cs="Verdana"/>
                <w:bCs/>
                <w:szCs w:val="20"/>
              </w:rPr>
              <w:t>:</w:t>
            </w:r>
          </w:p>
          <w:p w14:paraId="4DB7584E" w14:textId="5D151A8C" w:rsidR="00752E9A" w:rsidRPr="00BB32C7" w:rsidRDefault="00752E9A" w:rsidP="000727A5">
            <w:pPr>
              <w:rPr>
                <w:rFonts w:eastAsia="Verdana" w:cs="Verdana"/>
                <w:bCs/>
                <w:szCs w:val="20"/>
              </w:rPr>
            </w:pPr>
            <w:r w:rsidRPr="00BB32C7">
              <w:rPr>
                <w:rFonts w:eastAsia="Verdana" w:cs="Verdana"/>
                <w:bCs/>
                <w:szCs w:val="20"/>
              </w:rPr>
              <w:t xml:space="preserve">Output 1.2.1 In-depth gender responsive costing of social sector reforms for achieving quality, </w:t>
            </w:r>
            <w:r w:rsidRPr="00BB32C7">
              <w:rPr>
                <w:rFonts w:eastAsia="Verdana" w:cs="Verdana"/>
                <w:bCs/>
                <w:szCs w:val="20"/>
              </w:rPr>
              <w:lastRenderedPageBreak/>
              <w:t>equity and sustainability in services including the impact for men and women.</w:t>
            </w:r>
          </w:p>
          <w:p w14:paraId="3C0594B3" w14:textId="77777777" w:rsidR="000727A5" w:rsidRPr="00BB32C7" w:rsidRDefault="000727A5" w:rsidP="000727A5">
            <w:pPr>
              <w:rPr>
                <w:rFonts w:eastAsia="Verdana" w:cs="Verdana"/>
                <w:bCs/>
                <w:szCs w:val="20"/>
              </w:rPr>
            </w:pPr>
            <w:r w:rsidRPr="00BB32C7">
              <w:rPr>
                <w:rFonts w:eastAsia="Verdana" w:cs="Verdana"/>
                <w:bCs/>
                <w:szCs w:val="20"/>
              </w:rPr>
              <w:t xml:space="preserve">Output 2.2. Gender audits of budget </w:t>
            </w:r>
          </w:p>
          <w:p w14:paraId="66C69DB4" w14:textId="58D75CB3" w:rsidR="006B5803" w:rsidRPr="00BB32C7" w:rsidRDefault="000727A5" w:rsidP="000727A5">
            <w:pPr>
              <w:rPr>
                <w:rFonts w:eastAsia="Verdana" w:cs="Verdana"/>
                <w:bCs/>
                <w:szCs w:val="20"/>
              </w:rPr>
            </w:pPr>
            <w:r w:rsidRPr="00BB32C7">
              <w:rPr>
                <w:rFonts w:eastAsia="Verdana" w:cs="Verdana"/>
                <w:bCs/>
                <w:szCs w:val="20"/>
              </w:rPr>
              <w:t xml:space="preserve">Output 3.2 Gender specific indicators for monitoring the financing impact </w:t>
            </w:r>
          </w:p>
          <w:p w14:paraId="78D27745" w14:textId="0985A2E3" w:rsidR="000727A5" w:rsidRPr="00BB32C7" w:rsidRDefault="000727A5" w:rsidP="000727A5">
            <w:pPr>
              <w:rPr>
                <w:rFonts w:cs="Calibri"/>
                <w:bCs/>
                <w:szCs w:val="20"/>
              </w:rPr>
            </w:pPr>
            <w:r w:rsidRPr="00BB32C7">
              <w:rPr>
                <w:rFonts w:eastAsia="Verdana" w:cs="Verdana"/>
                <w:bCs/>
                <w:szCs w:val="20"/>
              </w:rPr>
              <w:t xml:space="preserve">Output 3.3 training delivered to </w:t>
            </w:r>
            <w:r w:rsidR="00E502D6" w:rsidRPr="00BB32C7">
              <w:rPr>
                <w:rFonts w:eastAsia="Verdana" w:cs="Verdana"/>
                <w:bCs/>
                <w:szCs w:val="20"/>
              </w:rPr>
              <w:t>the INFF Oversight</w:t>
            </w:r>
            <w:r w:rsidRPr="00BB32C7">
              <w:rPr>
                <w:rFonts w:eastAsia="Verdana" w:cs="Verdana"/>
                <w:bCs/>
                <w:szCs w:val="20"/>
              </w:rPr>
              <w:t xml:space="preserve"> </w:t>
            </w:r>
            <w:r w:rsidR="00E502D6" w:rsidRPr="00BB32C7">
              <w:rPr>
                <w:rFonts w:eastAsia="Verdana" w:cs="Verdana"/>
                <w:bCs/>
                <w:szCs w:val="20"/>
              </w:rPr>
              <w:t>C</w:t>
            </w:r>
            <w:r w:rsidRPr="00BB32C7">
              <w:rPr>
                <w:rFonts w:eastAsia="Verdana" w:cs="Verdana"/>
                <w:bCs/>
                <w:szCs w:val="20"/>
              </w:rPr>
              <w:t xml:space="preserve">ommittee on gender sensitive decision making and impact of finance on women and men </w:t>
            </w:r>
          </w:p>
        </w:tc>
        <w:tc>
          <w:tcPr>
            <w:tcW w:w="2880" w:type="dxa"/>
            <w:vAlign w:val="center"/>
          </w:tcPr>
          <w:p w14:paraId="3D367DAA" w14:textId="5C4CF177" w:rsidR="00A6720D" w:rsidRPr="00BB32C7" w:rsidRDefault="00D35D62" w:rsidP="000727A5">
            <w:pPr>
              <w:rPr>
                <w:rFonts w:cs="Calibri"/>
                <w:bCs/>
                <w:szCs w:val="20"/>
              </w:rPr>
            </w:pPr>
            <w:r w:rsidRPr="00BB32C7">
              <w:rPr>
                <w:rFonts w:cs="Calibri"/>
                <w:bCs/>
                <w:szCs w:val="20"/>
              </w:rPr>
              <w:lastRenderedPageBreak/>
              <w:t>JP Document</w:t>
            </w:r>
            <w:r w:rsidR="008A6CF8" w:rsidRPr="00BB32C7">
              <w:rPr>
                <w:rFonts w:cs="Calibri"/>
                <w:bCs/>
                <w:szCs w:val="20"/>
              </w:rPr>
              <w:t xml:space="preserve"> see Annex 2.2 </w:t>
            </w:r>
            <w:r w:rsidR="00A6720D" w:rsidRPr="00BB32C7">
              <w:rPr>
                <w:rFonts w:cs="Calibri"/>
                <w:bCs/>
                <w:szCs w:val="20"/>
              </w:rPr>
              <w:t>Joint Programme Results Framework</w:t>
            </w:r>
          </w:p>
        </w:tc>
      </w:tr>
      <w:tr w:rsidR="000727A5" w:rsidRPr="00BB32C7" w14:paraId="517864F3" w14:textId="77777777" w:rsidTr="00745D57">
        <w:trPr>
          <w:jc w:val="center"/>
        </w:trPr>
        <w:tc>
          <w:tcPr>
            <w:tcW w:w="544" w:type="dxa"/>
            <w:vAlign w:val="center"/>
          </w:tcPr>
          <w:p w14:paraId="3481961E" w14:textId="0BD12182" w:rsidR="000727A5" w:rsidRPr="00BB32C7" w:rsidRDefault="000727A5" w:rsidP="000727A5">
            <w:pPr>
              <w:jc w:val="center"/>
              <w:rPr>
                <w:rFonts w:cs="Calibri"/>
                <w:bCs/>
                <w:szCs w:val="20"/>
              </w:rPr>
            </w:pPr>
            <w:r w:rsidRPr="00BB32C7">
              <w:rPr>
                <w:rFonts w:eastAsia="Verdana" w:cs="Verdana"/>
                <w:bCs/>
                <w:szCs w:val="20"/>
              </w:rPr>
              <w:t>2.1</w:t>
            </w:r>
          </w:p>
        </w:tc>
        <w:tc>
          <w:tcPr>
            <w:tcW w:w="3174" w:type="dxa"/>
            <w:vAlign w:val="center"/>
          </w:tcPr>
          <w:p w14:paraId="6A68D756" w14:textId="063FA0F5" w:rsidR="000727A5" w:rsidRPr="00BB32C7" w:rsidRDefault="000727A5" w:rsidP="000727A5">
            <w:pPr>
              <w:rPr>
                <w:rFonts w:cs="Calibri"/>
                <w:bCs/>
                <w:color w:val="000000" w:themeColor="text1"/>
                <w:szCs w:val="20"/>
              </w:rPr>
            </w:pPr>
            <w:r w:rsidRPr="00BB32C7">
              <w:rPr>
                <w:rFonts w:eastAsia="Verdana" w:cs="Verdana"/>
                <w:bCs/>
                <w:color w:val="000000"/>
                <w:szCs w:val="20"/>
              </w:rPr>
              <w:t>PUNO collaborate and engage with Government on gender equality and the empowerment of women</w:t>
            </w:r>
          </w:p>
        </w:tc>
        <w:tc>
          <w:tcPr>
            <w:tcW w:w="846" w:type="dxa"/>
            <w:vAlign w:val="center"/>
          </w:tcPr>
          <w:p w14:paraId="5319E14C" w14:textId="12E9221A" w:rsidR="000727A5" w:rsidRPr="00BB32C7" w:rsidRDefault="000727A5" w:rsidP="000727A5">
            <w:pPr>
              <w:jc w:val="center"/>
              <w:rPr>
                <w:rFonts w:cs="Calibri"/>
                <w:bCs/>
                <w:szCs w:val="20"/>
              </w:rPr>
            </w:pPr>
            <w:r w:rsidRPr="00BB32C7">
              <w:rPr>
                <w:rFonts w:eastAsia="Verdana" w:cs="Verdana"/>
                <w:bCs/>
                <w:szCs w:val="20"/>
              </w:rPr>
              <w:t>2</w:t>
            </w:r>
          </w:p>
        </w:tc>
        <w:tc>
          <w:tcPr>
            <w:tcW w:w="5220" w:type="dxa"/>
            <w:vAlign w:val="center"/>
          </w:tcPr>
          <w:p w14:paraId="22E4FF65" w14:textId="6C96F232" w:rsidR="000727A5" w:rsidRPr="00BB32C7" w:rsidRDefault="00CE6932" w:rsidP="000727A5">
            <w:pPr>
              <w:rPr>
                <w:rFonts w:cs="Calibri"/>
                <w:bCs/>
                <w:szCs w:val="20"/>
              </w:rPr>
            </w:pPr>
            <w:r w:rsidRPr="00BB32C7">
              <w:rPr>
                <w:rFonts w:eastAsia="Verdana" w:cs="Verdana"/>
                <w:bCs/>
                <w:szCs w:val="20"/>
              </w:rPr>
              <w:t>G</w:t>
            </w:r>
            <w:r w:rsidR="000727A5" w:rsidRPr="00BB32C7">
              <w:rPr>
                <w:rFonts w:eastAsia="Verdana" w:cs="Verdana"/>
                <w:bCs/>
                <w:szCs w:val="20"/>
              </w:rPr>
              <w:t xml:space="preserve">overnment agencies who are considered to be in the national gender machinery have been consulted </w:t>
            </w:r>
            <w:r w:rsidRPr="00BB32C7">
              <w:rPr>
                <w:rFonts w:eastAsia="Verdana" w:cs="Verdana"/>
                <w:bCs/>
                <w:szCs w:val="20"/>
              </w:rPr>
              <w:t>–</w:t>
            </w:r>
            <w:r w:rsidR="000727A5" w:rsidRPr="00BB32C7">
              <w:rPr>
                <w:rFonts w:eastAsia="Verdana" w:cs="Verdana"/>
                <w:bCs/>
                <w:szCs w:val="20"/>
              </w:rPr>
              <w:t xml:space="preserve"> MoGFSS</w:t>
            </w:r>
            <w:r w:rsidRPr="00BB32C7">
              <w:rPr>
                <w:rFonts w:eastAsia="Verdana" w:cs="Verdana"/>
                <w:bCs/>
                <w:szCs w:val="20"/>
              </w:rPr>
              <w:t>,</w:t>
            </w:r>
            <w:r w:rsidR="000F0BDA" w:rsidRPr="00BB32C7">
              <w:rPr>
                <w:rFonts w:eastAsia="Verdana" w:cs="Verdana"/>
                <w:bCs/>
                <w:szCs w:val="20"/>
              </w:rPr>
              <w:t xml:space="preserve"> </w:t>
            </w:r>
            <w:r w:rsidR="000727A5" w:rsidRPr="00BB32C7">
              <w:rPr>
                <w:rFonts w:eastAsia="Verdana" w:cs="Verdana"/>
                <w:bCs/>
                <w:szCs w:val="20"/>
              </w:rPr>
              <w:t>PO and MNPI which has the overarching role to address gender issues across portfolios</w:t>
            </w:r>
          </w:p>
        </w:tc>
        <w:tc>
          <w:tcPr>
            <w:tcW w:w="2880" w:type="dxa"/>
            <w:vAlign w:val="center"/>
          </w:tcPr>
          <w:p w14:paraId="462696EA" w14:textId="007945F7" w:rsidR="00B1117F" w:rsidRPr="00BB32C7" w:rsidRDefault="00CE6932" w:rsidP="000727A5">
            <w:pPr>
              <w:rPr>
                <w:rFonts w:cs="Calibri"/>
                <w:bCs/>
                <w:szCs w:val="20"/>
              </w:rPr>
            </w:pPr>
            <w:r w:rsidRPr="00BB32C7">
              <w:rPr>
                <w:rFonts w:eastAsia="Verdana" w:cs="Verdana"/>
                <w:bCs/>
                <w:szCs w:val="20"/>
              </w:rPr>
              <w:t>JP Document</w:t>
            </w:r>
            <w:r w:rsidR="001B3A55" w:rsidRPr="00BB32C7">
              <w:rPr>
                <w:rFonts w:eastAsia="Verdana" w:cs="Verdana"/>
                <w:bCs/>
                <w:szCs w:val="20"/>
              </w:rPr>
              <w:t xml:space="preserve"> </w:t>
            </w:r>
            <w:r w:rsidR="00675959" w:rsidRPr="00BB32C7">
              <w:rPr>
                <w:rFonts w:eastAsia="Verdana" w:cs="Verdana"/>
                <w:bCs/>
                <w:szCs w:val="20"/>
              </w:rPr>
              <w:t>see section</w:t>
            </w:r>
            <w:r w:rsidR="00675959" w:rsidRPr="00BB32C7">
              <w:rPr>
                <w:rFonts w:cs="Calibri"/>
                <w:bCs/>
                <w:szCs w:val="20"/>
              </w:rPr>
              <w:t xml:space="preserve"> </w:t>
            </w:r>
            <w:r w:rsidR="00A6720D" w:rsidRPr="00BB32C7">
              <w:rPr>
                <w:rFonts w:cs="Calibri"/>
                <w:bCs/>
                <w:szCs w:val="20"/>
                <w:lang w:val="id-ID"/>
              </w:rPr>
              <w:t>Partnerships and Stakeholder Engagement</w:t>
            </w:r>
          </w:p>
        </w:tc>
      </w:tr>
      <w:tr w:rsidR="000727A5" w:rsidRPr="00BB32C7" w14:paraId="5A4E6D46" w14:textId="77777777" w:rsidTr="00745D57">
        <w:trPr>
          <w:jc w:val="center"/>
        </w:trPr>
        <w:tc>
          <w:tcPr>
            <w:tcW w:w="544" w:type="dxa"/>
            <w:vAlign w:val="center"/>
          </w:tcPr>
          <w:p w14:paraId="12C5A53B" w14:textId="187CD86B" w:rsidR="000727A5" w:rsidRPr="00BB32C7" w:rsidRDefault="000727A5" w:rsidP="000727A5">
            <w:pPr>
              <w:jc w:val="center"/>
              <w:rPr>
                <w:rFonts w:cs="Calibri"/>
                <w:bCs/>
                <w:szCs w:val="20"/>
              </w:rPr>
            </w:pPr>
            <w:r w:rsidRPr="00BB32C7">
              <w:rPr>
                <w:rFonts w:eastAsia="Verdana" w:cs="Verdana"/>
                <w:bCs/>
                <w:szCs w:val="20"/>
              </w:rPr>
              <w:t>2.2</w:t>
            </w:r>
          </w:p>
        </w:tc>
        <w:tc>
          <w:tcPr>
            <w:tcW w:w="3174" w:type="dxa"/>
            <w:vAlign w:val="center"/>
          </w:tcPr>
          <w:p w14:paraId="436091F0" w14:textId="49FADD72" w:rsidR="000727A5" w:rsidRPr="00BB32C7" w:rsidRDefault="000727A5" w:rsidP="000727A5">
            <w:pPr>
              <w:rPr>
                <w:rFonts w:cs="Calibri"/>
                <w:bCs/>
                <w:color w:val="000000" w:themeColor="text1"/>
                <w:szCs w:val="20"/>
              </w:rPr>
            </w:pPr>
            <w:r w:rsidRPr="00BB32C7">
              <w:rPr>
                <w:rFonts w:eastAsia="Verdana" w:cs="Verdana"/>
                <w:bCs/>
                <w:color w:val="000000"/>
                <w:szCs w:val="20"/>
              </w:rPr>
              <w:t>PUNO collaborate and engages with women’s/gender equality CSOs</w:t>
            </w:r>
          </w:p>
        </w:tc>
        <w:tc>
          <w:tcPr>
            <w:tcW w:w="846" w:type="dxa"/>
            <w:vAlign w:val="center"/>
          </w:tcPr>
          <w:p w14:paraId="6ACB854B" w14:textId="477DD552" w:rsidR="000727A5" w:rsidRPr="00BB32C7" w:rsidRDefault="00675959" w:rsidP="000727A5">
            <w:pPr>
              <w:jc w:val="center"/>
              <w:rPr>
                <w:rFonts w:cs="Calibri"/>
                <w:bCs/>
                <w:szCs w:val="20"/>
              </w:rPr>
            </w:pPr>
            <w:r w:rsidRPr="00BB32C7">
              <w:rPr>
                <w:rFonts w:eastAsia="Verdana" w:cs="Verdana"/>
                <w:bCs/>
                <w:szCs w:val="20"/>
              </w:rPr>
              <w:t>1</w:t>
            </w:r>
          </w:p>
        </w:tc>
        <w:tc>
          <w:tcPr>
            <w:tcW w:w="5220" w:type="dxa"/>
            <w:vAlign w:val="center"/>
          </w:tcPr>
          <w:p w14:paraId="1CC577AC" w14:textId="13C27022" w:rsidR="00675959" w:rsidRPr="00BB32C7" w:rsidRDefault="000727A5" w:rsidP="000F0BDA">
            <w:pPr>
              <w:rPr>
                <w:rFonts w:eastAsia="Verdana" w:cs="Verdana"/>
                <w:bCs/>
                <w:szCs w:val="20"/>
              </w:rPr>
            </w:pPr>
            <w:r w:rsidRPr="00BB32C7">
              <w:rPr>
                <w:rFonts w:eastAsia="Verdana" w:cs="Verdana"/>
                <w:bCs/>
                <w:szCs w:val="20"/>
              </w:rPr>
              <w:t xml:space="preserve">The JP highlights partnerships within the private sector. </w:t>
            </w:r>
            <w:r w:rsidR="000F0BDA" w:rsidRPr="00BB32C7">
              <w:rPr>
                <w:rFonts w:eastAsia="Verdana" w:cs="Verdana"/>
                <w:bCs/>
                <w:szCs w:val="20"/>
              </w:rPr>
              <w:t>Although</w:t>
            </w:r>
            <w:r w:rsidRPr="00BB32C7">
              <w:rPr>
                <w:rFonts w:eastAsia="Verdana" w:cs="Verdana"/>
                <w:bCs/>
                <w:szCs w:val="20"/>
              </w:rPr>
              <w:t xml:space="preserve"> specific </w:t>
            </w:r>
            <w:r w:rsidR="00CE6932" w:rsidRPr="00BB32C7">
              <w:rPr>
                <w:rFonts w:eastAsia="Verdana" w:cs="Verdana"/>
                <w:bCs/>
                <w:szCs w:val="20"/>
              </w:rPr>
              <w:t xml:space="preserve">GEWE </w:t>
            </w:r>
            <w:r w:rsidRPr="00BB32C7">
              <w:rPr>
                <w:rFonts w:eastAsia="Verdana" w:cs="Verdana"/>
                <w:bCs/>
                <w:szCs w:val="20"/>
              </w:rPr>
              <w:t>CSOs are not mentioned</w:t>
            </w:r>
            <w:r w:rsidR="00675959" w:rsidRPr="00BB32C7">
              <w:rPr>
                <w:rFonts w:cs="Calibri"/>
                <w:bCs/>
                <w:szCs w:val="20"/>
              </w:rPr>
              <w:t>, drawing on long-standing collaboration with women’s</w:t>
            </w:r>
            <w:r w:rsidR="00675959" w:rsidRPr="00BB32C7">
              <w:rPr>
                <w:rFonts w:cs="Calibri"/>
                <w:bCs/>
                <w:noProof/>
                <w:szCs w:val="20"/>
              </w:rPr>
              <w:t xml:space="preserve"> organisations </w:t>
            </w:r>
            <w:r w:rsidR="00675959" w:rsidRPr="00BB32C7">
              <w:rPr>
                <w:rFonts w:cs="Calibri"/>
                <w:bCs/>
                <w:szCs w:val="20"/>
              </w:rPr>
              <w:t>all PUNOs will advocate for gender mainstreaming in SDG financing and will have a clear role during the implementation, to analyze the impact of SDG finance on women and prioritize ways of reinforcing it, as well as their financial inclusion (capacity building/networking)</w:t>
            </w:r>
          </w:p>
        </w:tc>
        <w:tc>
          <w:tcPr>
            <w:tcW w:w="2880" w:type="dxa"/>
            <w:vAlign w:val="center"/>
          </w:tcPr>
          <w:p w14:paraId="4D126D84" w14:textId="4D25DF6F" w:rsidR="000727A5" w:rsidRPr="00BB32C7" w:rsidRDefault="00CE6932" w:rsidP="000727A5">
            <w:pPr>
              <w:rPr>
                <w:rFonts w:cs="Calibri"/>
                <w:bCs/>
                <w:szCs w:val="20"/>
              </w:rPr>
            </w:pPr>
            <w:r w:rsidRPr="00BB32C7">
              <w:rPr>
                <w:rFonts w:cs="Calibri"/>
                <w:bCs/>
                <w:szCs w:val="20"/>
              </w:rPr>
              <w:t>JP Document</w:t>
            </w:r>
            <w:r w:rsidR="00675959" w:rsidRPr="00BB32C7">
              <w:rPr>
                <w:rFonts w:cs="Calibri"/>
                <w:bCs/>
                <w:szCs w:val="20"/>
              </w:rPr>
              <w:t xml:space="preserve"> see sections on Programme Strategy Output 1.2, Outcome 2 and output 3.1</w:t>
            </w:r>
          </w:p>
          <w:p w14:paraId="5E8CCAD6" w14:textId="4A947CC2" w:rsidR="00A6720D" w:rsidRPr="00BB32C7" w:rsidRDefault="00A6720D" w:rsidP="000727A5">
            <w:pPr>
              <w:rPr>
                <w:rFonts w:cs="Calibri"/>
                <w:bCs/>
                <w:szCs w:val="20"/>
              </w:rPr>
            </w:pPr>
          </w:p>
        </w:tc>
      </w:tr>
      <w:tr w:rsidR="000727A5" w:rsidRPr="00BB32C7" w14:paraId="06342D23" w14:textId="77777777" w:rsidTr="00745D57">
        <w:trPr>
          <w:jc w:val="center"/>
        </w:trPr>
        <w:tc>
          <w:tcPr>
            <w:tcW w:w="544" w:type="dxa"/>
            <w:vAlign w:val="center"/>
          </w:tcPr>
          <w:p w14:paraId="0DC30819" w14:textId="41BA1C06" w:rsidR="000727A5" w:rsidRPr="00BB32C7" w:rsidRDefault="000727A5" w:rsidP="000727A5">
            <w:pPr>
              <w:jc w:val="center"/>
              <w:rPr>
                <w:rFonts w:cs="Calibri"/>
                <w:bCs/>
                <w:szCs w:val="20"/>
              </w:rPr>
            </w:pPr>
            <w:r w:rsidRPr="00BB32C7">
              <w:rPr>
                <w:rFonts w:eastAsia="Verdana" w:cs="Verdana"/>
                <w:bCs/>
                <w:szCs w:val="20"/>
              </w:rPr>
              <w:t>3.1</w:t>
            </w:r>
          </w:p>
        </w:tc>
        <w:tc>
          <w:tcPr>
            <w:tcW w:w="3174" w:type="dxa"/>
            <w:vAlign w:val="center"/>
          </w:tcPr>
          <w:p w14:paraId="0E1A6F9E" w14:textId="5FE24747" w:rsidR="000727A5" w:rsidRPr="00BB32C7" w:rsidRDefault="000727A5" w:rsidP="000727A5">
            <w:pPr>
              <w:rPr>
                <w:rFonts w:cs="Calibri"/>
                <w:bCs/>
                <w:color w:val="000000" w:themeColor="text1"/>
                <w:szCs w:val="20"/>
              </w:rPr>
            </w:pPr>
            <w:r w:rsidRPr="00BB32C7">
              <w:rPr>
                <w:rFonts w:eastAsia="Verdana" w:cs="Verdana"/>
                <w:bCs/>
                <w:color w:val="000000"/>
                <w:szCs w:val="20"/>
              </w:rPr>
              <w:t>Program proposes a gender-responsive budget</w:t>
            </w:r>
          </w:p>
        </w:tc>
        <w:tc>
          <w:tcPr>
            <w:tcW w:w="846" w:type="dxa"/>
            <w:vAlign w:val="center"/>
          </w:tcPr>
          <w:p w14:paraId="2738AD48" w14:textId="416D744C" w:rsidR="000727A5" w:rsidRPr="00BB32C7" w:rsidRDefault="00CE6932" w:rsidP="000727A5">
            <w:pPr>
              <w:jc w:val="center"/>
              <w:rPr>
                <w:rFonts w:cs="Calibri"/>
                <w:bCs/>
                <w:szCs w:val="20"/>
              </w:rPr>
            </w:pPr>
            <w:r w:rsidRPr="00BB32C7">
              <w:rPr>
                <w:rFonts w:eastAsia="Verdana" w:cs="Verdana"/>
                <w:bCs/>
                <w:szCs w:val="20"/>
              </w:rPr>
              <w:t xml:space="preserve">2 </w:t>
            </w:r>
          </w:p>
        </w:tc>
        <w:tc>
          <w:tcPr>
            <w:tcW w:w="5220" w:type="dxa"/>
            <w:vAlign w:val="center"/>
          </w:tcPr>
          <w:p w14:paraId="445C756D" w14:textId="70B28B0A" w:rsidR="000727A5" w:rsidRPr="00BB32C7" w:rsidRDefault="000F0BDA" w:rsidP="000727A5">
            <w:pPr>
              <w:rPr>
                <w:rFonts w:cs="Calibri"/>
                <w:bCs/>
                <w:szCs w:val="20"/>
              </w:rPr>
            </w:pPr>
            <w:r w:rsidRPr="00BB32C7">
              <w:rPr>
                <w:rFonts w:eastAsia="Verdana" w:cs="Verdana"/>
                <w:bCs/>
                <w:szCs w:val="20"/>
              </w:rPr>
              <w:t xml:space="preserve">Output 1.2 supports Government to undertake gender responsive costing which will guide the national budgeting process. </w:t>
            </w:r>
            <w:r w:rsidR="00CE6932" w:rsidRPr="00BB32C7">
              <w:rPr>
                <w:rFonts w:eastAsia="Verdana" w:cs="Verdana"/>
                <w:bCs/>
                <w:szCs w:val="20"/>
              </w:rPr>
              <w:t xml:space="preserve">Output 2.2 </w:t>
            </w:r>
            <w:r w:rsidRPr="00BB32C7">
              <w:rPr>
                <w:rFonts w:eastAsia="Verdana" w:cs="Verdana"/>
                <w:bCs/>
                <w:szCs w:val="20"/>
              </w:rPr>
              <w:t>includes supporting the capacity of line ministries to do gender audits of budgets.</w:t>
            </w:r>
            <w:r w:rsidR="00C3050B" w:rsidRPr="00BB32C7">
              <w:rPr>
                <w:rFonts w:eastAsia="Verdana" w:cs="Verdana"/>
                <w:bCs/>
                <w:szCs w:val="20"/>
              </w:rPr>
              <w:t xml:space="preserve"> </w:t>
            </w:r>
          </w:p>
        </w:tc>
        <w:tc>
          <w:tcPr>
            <w:tcW w:w="2880" w:type="dxa"/>
            <w:vAlign w:val="center"/>
          </w:tcPr>
          <w:p w14:paraId="238637CD" w14:textId="77777777" w:rsidR="000F0BDA" w:rsidRPr="00BB32C7" w:rsidRDefault="000F0BDA" w:rsidP="000F0BDA">
            <w:pPr>
              <w:rPr>
                <w:rFonts w:eastAsia="Verdana" w:cs="Verdana"/>
                <w:bCs/>
                <w:szCs w:val="20"/>
              </w:rPr>
            </w:pPr>
            <w:r w:rsidRPr="00BB32C7">
              <w:rPr>
                <w:rFonts w:eastAsia="Verdana" w:cs="Verdana"/>
                <w:bCs/>
                <w:szCs w:val="20"/>
              </w:rPr>
              <w:t>JP Document see sections</w:t>
            </w:r>
          </w:p>
          <w:p w14:paraId="6F178BE3" w14:textId="77777777" w:rsidR="000F0BDA" w:rsidRPr="00BB32C7" w:rsidRDefault="000F0BDA" w:rsidP="000F0BDA">
            <w:pPr>
              <w:rPr>
                <w:rFonts w:cs="Calibri"/>
                <w:bCs/>
                <w:szCs w:val="20"/>
              </w:rPr>
            </w:pPr>
            <w:r w:rsidRPr="00BB32C7">
              <w:rPr>
                <w:rFonts w:cs="Calibri"/>
                <w:bCs/>
                <w:szCs w:val="20"/>
                <w:lang w:val="id-ID"/>
              </w:rPr>
              <w:t>2</w:t>
            </w:r>
            <w:r w:rsidRPr="00BB32C7">
              <w:rPr>
                <w:rFonts w:cs="Calibri"/>
                <w:bCs/>
                <w:szCs w:val="20"/>
              </w:rPr>
              <w:t xml:space="preserve">2.3 </w:t>
            </w:r>
            <w:r w:rsidRPr="00BB32C7">
              <w:rPr>
                <w:bCs/>
                <w:color w:val="000000" w:themeColor="text1"/>
                <w:szCs w:val="20"/>
              </w:rPr>
              <w:t>Expected results by outcome and outputs</w:t>
            </w:r>
          </w:p>
          <w:p w14:paraId="755E6A30" w14:textId="77777777" w:rsidR="000F0BDA" w:rsidRPr="00BB32C7" w:rsidRDefault="000F0BDA" w:rsidP="000F0BDA">
            <w:pPr>
              <w:rPr>
                <w:bCs/>
                <w:szCs w:val="20"/>
              </w:rPr>
            </w:pPr>
            <w:r w:rsidRPr="00BB32C7">
              <w:rPr>
                <w:bCs/>
                <w:szCs w:val="20"/>
              </w:rPr>
              <w:t>2.4 (paragraph on gender)</w:t>
            </w:r>
          </w:p>
          <w:p w14:paraId="2A11C15F" w14:textId="421CB4D7" w:rsidR="000727A5" w:rsidRPr="00BB32C7" w:rsidRDefault="000F0BDA" w:rsidP="000F0BDA">
            <w:pPr>
              <w:rPr>
                <w:rFonts w:cs="Calibri"/>
                <w:bCs/>
                <w:szCs w:val="20"/>
              </w:rPr>
            </w:pPr>
            <w:r w:rsidRPr="00BB32C7">
              <w:rPr>
                <w:rFonts w:cs="Calibri"/>
                <w:bCs/>
                <w:szCs w:val="20"/>
              </w:rPr>
              <w:t>Annex 2.2 Joint Programme Results Framework</w:t>
            </w:r>
          </w:p>
        </w:tc>
      </w:tr>
      <w:tr w:rsidR="00A531F8" w:rsidRPr="00BB32C7" w14:paraId="13B59D8D" w14:textId="77777777" w:rsidTr="009E407D">
        <w:trPr>
          <w:jc w:val="center"/>
        </w:trPr>
        <w:tc>
          <w:tcPr>
            <w:tcW w:w="3718" w:type="dxa"/>
            <w:gridSpan w:val="2"/>
            <w:vAlign w:val="center"/>
          </w:tcPr>
          <w:p w14:paraId="1AB4401B" w14:textId="77777777" w:rsidR="00A531F8" w:rsidRPr="00BB32C7" w:rsidRDefault="00A531F8" w:rsidP="00A531F8">
            <w:pPr>
              <w:rPr>
                <w:rFonts w:cs="Calibri"/>
                <w:bCs/>
                <w:szCs w:val="20"/>
              </w:rPr>
            </w:pPr>
            <w:r w:rsidRPr="00BB32C7">
              <w:rPr>
                <w:rFonts w:cs="Calibri"/>
                <w:bCs/>
                <w:szCs w:val="20"/>
              </w:rPr>
              <w:t>Total scoring</w:t>
            </w:r>
          </w:p>
        </w:tc>
        <w:tc>
          <w:tcPr>
            <w:tcW w:w="846" w:type="dxa"/>
            <w:vAlign w:val="center"/>
          </w:tcPr>
          <w:p w14:paraId="100BFB9E" w14:textId="5DF95558" w:rsidR="00A531F8" w:rsidRPr="00BB32C7" w:rsidRDefault="00605A41" w:rsidP="00A531F8">
            <w:pPr>
              <w:jc w:val="center"/>
              <w:rPr>
                <w:rFonts w:cs="Calibri"/>
                <w:bCs/>
                <w:szCs w:val="20"/>
              </w:rPr>
            </w:pPr>
            <w:r>
              <w:rPr>
                <w:rFonts w:cs="Calibri"/>
                <w:bCs/>
                <w:szCs w:val="20"/>
              </w:rPr>
              <w:t>13</w:t>
            </w:r>
          </w:p>
        </w:tc>
        <w:tc>
          <w:tcPr>
            <w:tcW w:w="8100" w:type="dxa"/>
            <w:gridSpan w:val="2"/>
            <w:shd w:val="clear" w:color="auto" w:fill="auto"/>
            <w:vAlign w:val="center"/>
          </w:tcPr>
          <w:p w14:paraId="36C08B87" w14:textId="77777777" w:rsidR="00A531F8" w:rsidRPr="00BB32C7" w:rsidRDefault="00A531F8" w:rsidP="00A531F8">
            <w:pPr>
              <w:rPr>
                <w:rFonts w:cs="Calibri"/>
                <w:bCs/>
                <w:szCs w:val="20"/>
              </w:rPr>
            </w:pPr>
          </w:p>
        </w:tc>
      </w:tr>
    </w:tbl>
    <w:p w14:paraId="21955712" w14:textId="77777777" w:rsidR="00027C0E" w:rsidRPr="00CD3D9C" w:rsidRDefault="00027C0E" w:rsidP="001134F6">
      <w:pPr>
        <w:rPr>
          <w:rFonts w:eastAsia="Times New Roman"/>
          <w:color w:val="000000" w:themeColor="text1"/>
          <w:szCs w:val="20"/>
          <w:lang w:eastAsia="en-GB"/>
        </w:rPr>
      </w:pPr>
    </w:p>
    <w:p w14:paraId="25819B4B" w14:textId="1158C29E" w:rsidR="00C57A60" w:rsidRPr="00CD3D9C" w:rsidRDefault="00E207B7" w:rsidP="001134F6">
      <w:pPr>
        <w:rPr>
          <w:rFonts w:eastAsia="Times New Roman"/>
          <w:b/>
          <w:color w:val="0070C0"/>
          <w:szCs w:val="20"/>
          <w:u w:val="single"/>
          <w:lang w:eastAsia="en-GB"/>
        </w:rPr>
      </w:pPr>
      <w:r w:rsidRPr="00CD3D9C">
        <w:rPr>
          <w:rFonts w:eastAsia="Times New Roman"/>
          <w:b/>
          <w:color w:val="0070C0"/>
          <w:szCs w:val="20"/>
          <w:u w:val="single"/>
          <w:lang w:eastAsia="en-GB"/>
        </w:rPr>
        <w:t xml:space="preserve">Annex </w:t>
      </w:r>
      <w:r w:rsidR="00CC23C7" w:rsidRPr="00CD3D9C">
        <w:rPr>
          <w:rFonts w:eastAsia="Times New Roman"/>
          <w:b/>
          <w:color w:val="0070C0"/>
          <w:szCs w:val="20"/>
          <w:u w:val="single"/>
          <w:lang w:eastAsia="en-GB"/>
        </w:rPr>
        <w:t>4</w:t>
      </w:r>
      <w:r w:rsidR="00D765B7" w:rsidRPr="00CD3D9C">
        <w:rPr>
          <w:rFonts w:eastAsia="Times New Roman"/>
          <w:b/>
          <w:color w:val="0070C0"/>
          <w:szCs w:val="20"/>
          <w:u w:val="single"/>
          <w:lang w:eastAsia="en-GB"/>
        </w:rPr>
        <w:t xml:space="preserve">. </w:t>
      </w:r>
      <w:r w:rsidRPr="00CD3D9C">
        <w:rPr>
          <w:rFonts w:eastAsia="Times New Roman"/>
          <w:b/>
          <w:color w:val="0070C0"/>
          <w:szCs w:val="20"/>
          <w:u w:val="single"/>
          <w:lang w:eastAsia="en-GB"/>
        </w:rPr>
        <w:t xml:space="preserve">Budget and </w:t>
      </w:r>
      <w:r w:rsidR="00C57A60" w:rsidRPr="00CD3D9C">
        <w:rPr>
          <w:rFonts w:eastAsia="Times New Roman"/>
          <w:b/>
          <w:color w:val="0070C0"/>
          <w:szCs w:val="20"/>
          <w:u w:val="single"/>
          <w:lang w:eastAsia="en-GB"/>
        </w:rPr>
        <w:t>Work Plan</w:t>
      </w:r>
    </w:p>
    <w:p w14:paraId="7F766AED" w14:textId="77777777" w:rsidR="00BE7DF6" w:rsidRPr="00CD3D9C" w:rsidRDefault="00BE7DF6" w:rsidP="001134F6">
      <w:pPr>
        <w:rPr>
          <w:rFonts w:eastAsia="Times New Roman"/>
          <w:b/>
          <w:bCs/>
          <w:color w:val="000000" w:themeColor="text1"/>
          <w:szCs w:val="20"/>
          <w:lang w:eastAsia="en-GB"/>
        </w:rPr>
      </w:pPr>
    </w:p>
    <w:p w14:paraId="042EA16A" w14:textId="407301DA" w:rsidR="00F94ACD" w:rsidRPr="00CD3D9C" w:rsidRDefault="00CC23C7" w:rsidP="001134F6">
      <w:pPr>
        <w:rPr>
          <w:rFonts w:eastAsia="Times New Roman"/>
          <w:b/>
          <w:bCs/>
          <w:color w:val="0070C0"/>
          <w:szCs w:val="20"/>
          <w:u w:val="single"/>
          <w:lang w:eastAsia="en-GB"/>
        </w:rPr>
      </w:pPr>
      <w:r w:rsidRPr="00CD3D9C">
        <w:rPr>
          <w:rFonts w:eastAsia="Times New Roman"/>
          <w:b/>
          <w:bCs/>
          <w:color w:val="0070C0"/>
          <w:szCs w:val="20"/>
          <w:u w:val="single"/>
          <w:lang w:eastAsia="en-GB"/>
        </w:rPr>
        <w:t>4</w:t>
      </w:r>
      <w:r w:rsidR="00081CE7" w:rsidRPr="00CD3D9C">
        <w:rPr>
          <w:rFonts w:eastAsia="Times New Roman"/>
          <w:b/>
          <w:bCs/>
          <w:color w:val="0070C0"/>
          <w:szCs w:val="20"/>
          <w:u w:val="single"/>
          <w:lang w:eastAsia="en-GB"/>
        </w:rPr>
        <w:t>.1</w:t>
      </w:r>
      <w:r w:rsidR="008B02D0" w:rsidRPr="00CD3D9C">
        <w:rPr>
          <w:rFonts w:eastAsia="Times New Roman"/>
          <w:b/>
          <w:bCs/>
          <w:color w:val="0070C0"/>
          <w:szCs w:val="20"/>
          <w:u w:val="single"/>
          <w:lang w:eastAsia="en-GB"/>
        </w:rPr>
        <w:t xml:space="preserve"> Budget per UNSDG categories</w:t>
      </w:r>
    </w:p>
    <w:p w14:paraId="112C5833" w14:textId="5B467A09" w:rsidR="00F671CF" w:rsidRDefault="00F671CF" w:rsidP="001134F6">
      <w:pPr>
        <w:rPr>
          <w:rFonts w:eastAsia="Times New Roman"/>
          <w:i/>
          <w:iCs/>
          <w:color w:val="C45911" w:themeColor="accent2" w:themeShade="BF"/>
          <w:szCs w:val="20"/>
          <w:lang w:eastAsia="en-GB"/>
        </w:rPr>
      </w:pPr>
    </w:p>
    <w:p w14:paraId="3B3BCBC6" w14:textId="7DDF5FDB" w:rsidR="00986994" w:rsidRDefault="00F671CF" w:rsidP="001134F6">
      <w:pPr>
        <w:rPr>
          <w:rFonts w:eastAsia="Times New Roman" w:cs="Calibri"/>
          <w:b/>
          <w:bCs/>
          <w:color w:val="000000"/>
          <w:sz w:val="24"/>
          <w:szCs w:val="24"/>
        </w:rPr>
      </w:pPr>
      <w:r w:rsidRPr="00F671CF">
        <w:rPr>
          <w:rFonts w:eastAsia="Times New Roman" w:cs="Calibri"/>
          <w:b/>
          <w:bCs/>
          <w:color w:val="000000"/>
          <w:sz w:val="24"/>
          <w:szCs w:val="24"/>
        </w:rPr>
        <w:lastRenderedPageBreak/>
        <w:t>4.1 Budget per UNDG c</w:t>
      </w:r>
      <w:r w:rsidRPr="00986994">
        <w:rPr>
          <w:rFonts w:eastAsia="Times New Roman" w:cs="Calibri"/>
          <w:b/>
          <w:bCs/>
          <w:color w:val="000000"/>
          <w:sz w:val="24"/>
          <w:szCs w:val="24"/>
        </w:rPr>
        <w:t>ategories</w:t>
      </w:r>
    </w:p>
    <w:p w14:paraId="68171A9D" w14:textId="77777777" w:rsidR="0054165D" w:rsidRDefault="0054165D" w:rsidP="0054165D">
      <w:pPr>
        <w:jc w:val="both"/>
        <w:rPr>
          <w:rFonts w:eastAsia="Times New Roman"/>
          <w:color w:val="000000" w:themeColor="text1"/>
          <w:szCs w:val="20"/>
          <w:lang w:eastAsia="en-GB"/>
        </w:rPr>
      </w:pPr>
    </w:p>
    <w:p w14:paraId="10057E7E" w14:textId="6ACC1334" w:rsidR="0054165D" w:rsidRPr="003620DE" w:rsidRDefault="0054165D" w:rsidP="0054165D">
      <w:pPr>
        <w:jc w:val="both"/>
        <w:rPr>
          <w:rFonts w:eastAsia="Times New Roman"/>
          <w:color w:val="000000" w:themeColor="text1"/>
          <w:szCs w:val="20"/>
          <w:lang w:eastAsia="en-GB"/>
        </w:rPr>
      </w:pPr>
      <w:r w:rsidRPr="003620DE">
        <w:rPr>
          <w:rFonts w:eastAsia="Times New Roman"/>
          <w:color w:val="000000" w:themeColor="text1"/>
          <w:szCs w:val="20"/>
          <w:lang w:eastAsia="en-GB"/>
        </w:rPr>
        <w:t xml:space="preserve">UNDP as </w:t>
      </w:r>
      <w:r w:rsidR="009B2480">
        <w:rPr>
          <w:rFonts w:eastAsia="Times New Roman"/>
          <w:color w:val="000000" w:themeColor="text1"/>
          <w:szCs w:val="20"/>
          <w:lang w:eastAsia="en-GB"/>
        </w:rPr>
        <w:t>the convening agency</w:t>
      </w:r>
      <w:r w:rsidRPr="003620DE">
        <w:rPr>
          <w:rFonts w:eastAsia="Times New Roman"/>
          <w:color w:val="000000" w:themeColor="text1"/>
          <w:szCs w:val="20"/>
          <w:lang w:eastAsia="en-GB"/>
        </w:rPr>
        <w:t xml:space="preserve"> for this UNJP will have around </w:t>
      </w:r>
      <w:r>
        <w:rPr>
          <w:rFonts w:eastAsia="Times New Roman"/>
          <w:color w:val="000000" w:themeColor="text1"/>
          <w:szCs w:val="20"/>
          <w:lang w:eastAsia="en-GB"/>
        </w:rPr>
        <w:t>45</w:t>
      </w:r>
      <w:r w:rsidRPr="003620DE">
        <w:rPr>
          <w:rFonts w:eastAsia="Times New Roman"/>
          <w:color w:val="000000" w:themeColor="text1"/>
          <w:szCs w:val="20"/>
          <w:lang w:eastAsia="en-GB"/>
        </w:rPr>
        <w:t xml:space="preserve"> percent of the total programme budget and will coordinate the work under the guidance of the UNRC, as well as lead the reporting and evaluation of the UNJ</w:t>
      </w:r>
      <w:r>
        <w:rPr>
          <w:rFonts w:eastAsia="Times New Roman"/>
          <w:color w:val="000000" w:themeColor="text1"/>
          <w:szCs w:val="20"/>
          <w:lang w:eastAsia="en-GB"/>
        </w:rPr>
        <w:t>P.</w:t>
      </w:r>
    </w:p>
    <w:p w14:paraId="3DD26763" w14:textId="00E84988" w:rsidR="0054165D" w:rsidRDefault="0054165D" w:rsidP="0054165D">
      <w:pPr>
        <w:jc w:val="both"/>
        <w:rPr>
          <w:rFonts w:eastAsia="Times New Roman"/>
          <w:color w:val="000000" w:themeColor="text1"/>
          <w:szCs w:val="20"/>
          <w:lang w:eastAsia="en-GB"/>
        </w:rPr>
      </w:pPr>
      <w:r w:rsidRPr="003620DE">
        <w:rPr>
          <w:rFonts w:eastAsia="Times New Roman"/>
          <w:color w:val="000000" w:themeColor="text1"/>
          <w:szCs w:val="20"/>
          <w:lang w:eastAsia="en-GB"/>
        </w:rPr>
        <w:t>The total programme costs USD</w:t>
      </w:r>
      <w:r w:rsidR="009B2480">
        <w:rPr>
          <w:rFonts w:eastAsia="Times New Roman"/>
          <w:color w:val="000000" w:themeColor="text1"/>
          <w:szCs w:val="20"/>
          <w:lang w:eastAsia="en-GB"/>
        </w:rPr>
        <w:t xml:space="preserve"> </w:t>
      </w:r>
      <w:r w:rsidR="00570DDD" w:rsidRPr="00570DDD">
        <w:rPr>
          <w:rFonts w:eastAsia="Times New Roman"/>
          <w:color w:val="000000" w:themeColor="text1"/>
          <w:szCs w:val="20"/>
          <w:lang w:eastAsia="en-GB"/>
        </w:rPr>
        <w:t>1</w:t>
      </w:r>
      <w:r w:rsidR="00570DDD">
        <w:rPr>
          <w:rFonts w:eastAsia="Times New Roman"/>
          <w:color w:val="000000" w:themeColor="text1"/>
          <w:szCs w:val="20"/>
          <w:lang w:eastAsia="en-GB"/>
        </w:rPr>
        <w:t>,</w:t>
      </w:r>
      <w:r w:rsidR="00570DDD" w:rsidRPr="00570DDD">
        <w:rPr>
          <w:rFonts w:eastAsia="Times New Roman"/>
          <w:color w:val="000000" w:themeColor="text1"/>
          <w:szCs w:val="20"/>
          <w:lang w:eastAsia="en-GB"/>
        </w:rPr>
        <w:t>472</w:t>
      </w:r>
      <w:r w:rsidR="00570DDD">
        <w:rPr>
          <w:rFonts w:eastAsia="Times New Roman"/>
          <w:color w:val="000000" w:themeColor="text1"/>
          <w:szCs w:val="20"/>
          <w:lang w:eastAsia="en-GB"/>
        </w:rPr>
        <w:t>,</w:t>
      </w:r>
      <w:r w:rsidR="00570DDD" w:rsidRPr="00570DDD">
        <w:rPr>
          <w:rFonts w:eastAsia="Times New Roman"/>
          <w:color w:val="000000" w:themeColor="text1"/>
          <w:szCs w:val="20"/>
          <w:lang w:eastAsia="en-GB"/>
        </w:rPr>
        <w:t>53</w:t>
      </w:r>
      <w:r w:rsidR="00570DDD">
        <w:rPr>
          <w:rFonts w:eastAsia="Times New Roman"/>
          <w:color w:val="000000" w:themeColor="text1"/>
          <w:szCs w:val="20"/>
          <w:lang w:eastAsia="en-GB"/>
        </w:rPr>
        <w:t xml:space="preserve">4 </w:t>
      </w:r>
      <w:r w:rsidRPr="003620DE">
        <w:rPr>
          <w:rFonts w:eastAsia="Times New Roman"/>
          <w:color w:val="000000" w:themeColor="text1"/>
          <w:szCs w:val="20"/>
          <w:lang w:eastAsia="en-GB"/>
        </w:rPr>
        <w:t>of which USD</w:t>
      </w:r>
      <w:r>
        <w:rPr>
          <w:rFonts w:eastAsia="Times New Roman"/>
          <w:color w:val="000000" w:themeColor="text1"/>
          <w:szCs w:val="20"/>
          <w:lang w:eastAsia="en-GB"/>
        </w:rPr>
        <w:t xml:space="preserve"> </w:t>
      </w:r>
      <w:r w:rsidR="00570DDD" w:rsidRPr="00570DDD">
        <w:rPr>
          <w:rFonts w:eastAsia="Times New Roman"/>
          <w:color w:val="000000" w:themeColor="text1"/>
          <w:szCs w:val="20"/>
          <w:lang w:eastAsia="en-GB"/>
        </w:rPr>
        <w:t>931</w:t>
      </w:r>
      <w:r w:rsidR="00570DDD">
        <w:rPr>
          <w:rFonts w:eastAsia="Times New Roman"/>
          <w:color w:val="000000" w:themeColor="text1"/>
          <w:szCs w:val="20"/>
          <w:lang w:eastAsia="en-GB"/>
        </w:rPr>
        <w:t>,</w:t>
      </w:r>
      <w:r w:rsidR="00570DDD" w:rsidRPr="00570DDD">
        <w:rPr>
          <w:rFonts w:eastAsia="Times New Roman"/>
          <w:color w:val="000000" w:themeColor="text1"/>
          <w:szCs w:val="20"/>
          <w:lang w:eastAsia="en-GB"/>
        </w:rPr>
        <w:t>634</w:t>
      </w:r>
      <w:r w:rsidR="00570DDD">
        <w:rPr>
          <w:rFonts w:eastAsia="Times New Roman"/>
          <w:color w:val="000000" w:themeColor="text1"/>
          <w:szCs w:val="20"/>
          <w:lang w:eastAsia="en-GB"/>
        </w:rPr>
        <w:t xml:space="preserve"> </w:t>
      </w:r>
      <w:r w:rsidRPr="003620DE">
        <w:rPr>
          <w:rFonts w:eastAsia="Times New Roman"/>
          <w:color w:val="000000" w:themeColor="text1"/>
          <w:szCs w:val="20"/>
          <w:lang w:eastAsia="en-GB"/>
        </w:rPr>
        <w:t xml:space="preserve">will be from the UNSDGF and the remaining from PUNOs. Within the allocation from UNSDGF, </w:t>
      </w:r>
      <w:r w:rsidR="009B2480">
        <w:rPr>
          <w:rFonts w:eastAsia="Times New Roman"/>
          <w:color w:val="000000" w:themeColor="text1"/>
          <w:szCs w:val="20"/>
          <w:lang w:eastAsia="en-GB"/>
        </w:rPr>
        <w:t>80</w:t>
      </w:r>
      <w:r w:rsidRPr="003620DE">
        <w:rPr>
          <w:rFonts w:eastAsia="Times New Roman"/>
          <w:color w:val="000000" w:themeColor="text1"/>
          <w:szCs w:val="20"/>
          <w:lang w:eastAsia="en-GB"/>
        </w:rPr>
        <w:t xml:space="preserve"> percent is allocated for delivery of outputs to the government.  </w:t>
      </w:r>
    </w:p>
    <w:p w14:paraId="4BD522F8" w14:textId="77777777" w:rsidR="0054165D" w:rsidRDefault="0054165D" w:rsidP="0054165D">
      <w:pPr>
        <w:jc w:val="both"/>
        <w:rPr>
          <w:rFonts w:eastAsia="Times New Roman"/>
          <w:color w:val="000000" w:themeColor="text1"/>
          <w:szCs w:val="20"/>
          <w:lang w:eastAsia="en-GB"/>
        </w:rPr>
      </w:pPr>
    </w:p>
    <w:p w14:paraId="4AAB7469" w14:textId="46F88FAA" w:rsidR="0054165D" w:rsidRPr="009B2480" w:rsidRDefault="0054165D" w:rsidP="0054165D">
      <w:pPr>
        <w:rPr>
          <w:rFonts w:eastAsia="Times New Roman"/>
          <w:color w:val="000000" w:themeColor="text1"/>
          <w:szCs w:val="20"/>
          <w:lang w:eastAsia="en-GB"/>
        </w:rPr>
      </w:pPr>
      <w:r w:rsidRPr="003620DE">
        <w:rPr>
          <w:rFonts w:eastAsia="Times New Roman"/>
          <w:color w:val="000000" w:themeColor="text1"/>
          <w:szCs w:val="20"/>
          <w:lang w:eastAsia="en-GB"/>
        </w:rPr>
        <w:t xml:space="preserve">USD </w:t>
      </w:r>
      <w:r w:rsidR="00570DDD" w:rsidRPr="00570DDD">
        <w:rPr>
          <w:rFonts w:eastAsia="Times New Roman"/>
          <w:color w:val="000000" w:themeColor="text1"/>
          <w:szCs w:val="20"/>
          <w:lang w:eastAsia="en-GB"/>
        </w:rPr>
        <w:t>16</w:t>
      </w:r>
      <w:r w:rsidR="00570DDD">
        <w:rPr>
          <w:rFonts w:eastAsia="Times New Roman"/>
          <w:color w:val="000000" w:themeColor="text1"/>
          <w:szCs w:val="20"/>
          <w:lang w:eastAsia="en-GB"/>
        </w:rPr>
        <w:t>,</w:t>
      </w:r>
      <w:r w:rsidR="00570DDD" w:rsidRPr="00570DDD">
        <w:rPr>
          <w:rFonts w:eastAsia="Times New Roman"/>
          <w:color w:val="000000" w:themeColor="text1"/>
          <w:szCs w:val="20"/>
          <w:lang w:eastAsia="en-GB"/>
        </w:rPr>
        <w:t xml:space="preserve">552 </w:t>
      </w:r>
      <w:r w:rsidRPr="003620DE">
        <w:rPr>
          <w:rFonts w:eastAsia="Times New Roman"/>
          <w:color w:val="000000" w:themeColor="text1"/>
          <w:szCs w:val="20"/>
          <w:lang w:eastAsia="en-GB"/>
        </w:rPr>
        <w:t>(</w:t>
      </w:r>
      <w:r>
        <w:rPr>
          <w:rFonts w:eastAsia="Times New Roman"/>
          <w:color w:val="000000" w:themeColor="text1"/>
          <w:szCs w:val="20"/>
          <w:lang w:eastAsia="en-GB"/>
        </w:rPr>
        <w:t>2</w:t>
      </w:r>
      <w:r w:rsidRPr="003620DE">
        <w:rPr>
          <w:rFonts w:eastAsia="Times New Roman"/>
          <w:color w:val="000000" w:themeColor="text1"/>
          <w:szCs w:val="20"/>
          <w:lang w:eastAsia="en-GB"/>
        </w:rPr>
        <w:t xml:space="preserve">% percent of UNSDGF) is allocated for monitoring, evaluation and reporting. Also, USD </w:t>
      </w:r>
      <w:r>
        <w:rPr>
          <w:rFonts w:eastAsia="Times New Roman"/>
          <w:color w:val="000000" w:themeColor="text1"/>
          <w:szCs w:val="20"/>
          <w:lang w:eastAsia="en-GB"/>
        </w:rPr>
        <w:t>33,10</w:t>
      </w:r>
      <w:r w:rsidR="00570DDD">
        <w:rPr>
          <w:rFonts w:eastAsia="Times New Roman"/>
          <w:color w:val="000000" w:themeColor="text1"/>
          <w:szCs w:val="20"/>
          <w:lang w:eastAsia="en-GB"/>
        </w:rPr>
        <w:t>5</w:t>
      </w:r>
      <w:r>
        <w:rPr>
          <w:rFonts w:eastAsia="Times New Roman"/>
          <w:color w:val="000000" w:themeColor="text1"/>
          <w:szCs w:val="20"/>
          <w:lang w:eastAsia="en-GB"/>
        </w:rPr>
        <w:t xml:space="preserve"> </w:t>
      </w:r>
      <w:r w:rsidRPr="003620DE">
        <w:rPr>
          <w:rFonts w:eastAsia="Times New Roman"/>
          <w:color w:val="000000" w:themeColor="text1"/>
          <w:szCs w:val="20"/>
          <w:lang w:eastAsia="en-GB"/>
        </w:rPr>
        <w:t xml:space="preserve">(4% percent of UNSDGF) is budgeted for final independent and gender-responsive evaluation. </w:t>
      </w:r>
      <w:r>
        <w:rPr>
          <w:rFonts w:eastAsia="Times New Roman"/>
          <w:color w:val="000000" w:themeColor="text1"/>
          <w:szCs w:val="20"/>
          <w:lang w:eastAsia="en-GB"/>
        </w:rPr>
        <w:t xml:space="preserve">While a total of USD </w:t>
      </w:r>
      <w:r w:rsidRPr="000753CF">
        <w:rPr>
          <w:rFonts w:eastAsia="Times New Roman"/>
          <w:color w:val="000000" w:themeColor="text1"/>
          <w:szCs w:val="20"/>
          <w:lang w:eastAsia="en-GB"/>
        </w:rPr>
        <w:t>24</w:t>
      </w:r>
      <w:r>
        <w:rPr>
          <w:rFonts w:eastAsia="Times New Roman"/>
          <w:color w:val="000000" w:themeColor="text1"/>
          <w:szCs w:val="20"/>
          <w:lang w:eastAsia="en-GB"/>
        </w:rPr>
        <w:t>,</w:t>
      </w:r>
      <w:r w:rsidRPr="000753CF">
        <w:rPr>
          <w:rFonts w:eastAsia="Times New Roman"/>
          <w:color w:val="000000" w:themeColor="text1"/>
          <w:szCs w:val="20"/>
          <w:lang w:eastAsia="en-GB"/>
        </w:rPr>
        <w:t>829</w:t>
      </w:r>
      <w:r>
        <w:rPr>
          <w:rFonts w:eastAsia="Times New Roman"/>
          <w:color w:val="000000" w:themeColor="text1"/>
          <w:szCs w:val="20"/>
          <w:lang w:eastAsia="en-GB"/>
        </w:rPr>
        <w:t xml:space="preserve"> (3% of UNSDGF) is allocated for Strategic </w:t>
      </w:r>
      <w:r w:rsidRPr="003620DE">
        <w:rPr>
          <w:rFonts w:eastAsia="Times New Roman"/>
          <w:color w:val="000000" w:themeColor="text1"/>
          <w:szCs w:val="20"/>
          <w:lang w:eastAsia="en-GB"/>
        </w:rPr>
        <w:t>communication</w:t>
      </w:r>
      <w:r>
        <w:rPr>
          <w:rFonts w:eastAsia="Times New Roman"/>
          <w:color w:val="000000" w:themeColor="text1"/>
          <w:szCs w:val="20"/>
          <w:lang w:eastAsia="en-GB"/>
        </w:rPr>
        <w:t xml:space="preserve"> and Advocacy</w:t>
      </w:r>
      <w:r w:rsidR="00973628">
        <w:rPr>
          <w:rFonts w:eastAsia="Times New Roman"/>
          <w:color w:val="000000" w:themeColor="text1"/>
          <w:szCs w:val="20"/>
          <w:lang w:eastAsia="en-GB"/>
        </w:rPr>
        <w:t xml:space="preserve"> which is reflected through UNDP proposed budget.</w:t>
      </w:r>
    </w:p>
    <w:p w14:paraId="7D6D605F" w14:textId="77777777" w:rsidR="0054165D" w:rsidRPr="009B2480" w:rsidRDefault="0054165D" w:rsidP="001134F6">
      <w:pPr>
        <w:rPr>
          <w:rFonts w:eastAsia="Times New Roman"/>
          <w:color w:val="000000" w:themeColor="text1"/>
          <w:szCs w:val="20"/>
          <w:lang w:eastAsia="en-GB"/>
        </w:rPr>
      </w:pPr>
    </w:p>
    <w:tbl>
      <w:tblPr>
        <w:tblW w:w="13320" w:type="dxa"/>
        <w:tblInd w:w="-455" w:type="dxa"/>
        <w:tblLook w:val="04A0" w:firstRow="1" w:lastRow="0" w:firstColumn="1" w:lastColumn="0" w:noHBand="0" w:noVBand="1"/>
      </w:tblPr>
      <w:tblGrid>
        <w:gridCol w:w="1509"/>
        <w:gridCol w:w="1245"/>
        <w:gridCol w:w="1150"/>
        <w:gridCol w:w="1245"/>
        <w:gridCol w:w="1101"/>
        <w:gridCol w:w="1245"/>
        <w:gridCol w:w="1101"/>
        <w:gridCol w:w="1245"/>
        <w:gridCol w:w="1101"/>
        <w:gridCol w:w="1245"/>
        <w:gridCol w:w="1218"/>
      </w:tblGrid>
      <w:tr w:rsidR="00231845" w:rsidRPr="00231845" w14:paraId="61469ED2" w14:textId="77777777" w:rsidTr="00231845">
        <w:trPr>
          <w:trHeight w:val="296"/>
        </w:trPr>
        <w:tc>
          <w:tcPr>
            <w:tcW w:w="1420" w:type="dxa"/>
            <w:vMerge w:val="restart"/>
            <w:tcBorders>
              <w:top w:val="single" w:sz="4" w:space="0" w:color="auto"/>
              <w:left w:val="single" w:sz="4" w:space="0" w:color="auto"/>
              <w:bottom w:val="single" w:sz="4" w:space="0" w:color="auto"/>
              <w:right w:val="single" w:sz="4" w:space="0" w:color="auto"/>
            </w:tcBorders>
            <w:shd w:val="clear" w:color="000000" w:fill="2F75B5"/>
            <w:vAlign w:val="center"/>
            <w:hideMark/>
          </w:tcPr>
          <w:p w14:paraId="021BAE15" w14:textId="77777777" w:rsidR="00231845" w:rsidRPr="00231845" w:rsidRDefault="00231845" w:rsidP="00231845">
            <w:pPr>
              <w:jc w:val="center"/>
              <w:rPr>
                <w:rFonts w:eastAsia="Times New Roman" w:cs="Calibri"/>
                <w:b/>
                <w:bCs/>
                <w:color w:val="FFFFFF"/>
                <w:szCs w:val="20"/>
              </w:rPr>
            </w:pPr>
            <w:r w:rsidRPr="00231845">
              <w:rPr>
                <w:rFonts w:eastAsia="Times New Roman" w:cs="Calibri"/>
                <w:b/>
                <w:bCs/>
                <w:color w:val="FFFFFF"/>
                <w:szCs w:val="20"/>
              </w:rPr>
              <w:t>UNDG BUDGET CATEGORIES</w:t>
            </w:r>
          </w:p>
        </w:tc>
        <w:tc>
          <w:tcPr>
            <w:tcW w:w="2460" w:type="dxa"/>
            <w:gridSpan w:val="2"/>
            <w:tcBorders>
              <w:top w:val="single" w:sz="4" w:space="0" w:color="auto"/>
              <w:left w:val="nil"/>
              <w:bottom w:val="single" w:sz="4" w:space="0" w:color="auto"/>
              <w:right w:val="single" w:sz="4" w:space="0" w:color="auto"/>
            </w:tcBorders>
            <w:shd w:val="clear" w:color="000000" w:fill="2F75B5"/>
            <w:vAlign w:val="center"/>
            <w:hideMark/>
          </w:tcPr>
          <w:p w14:paraId="7AF209A2" w14:textId="77777777" w:rsidR="00231845" w:rsidRPr="00231845" w:rsidRDefault="00231845" w:rsidP="00231845">
            <w:pPr>
              <w:jc w:val="center"/>
              <w:rPr>
                <w:rFonts w:eastAsia="Times New Roman" w:cs="Calibri"/>
                <w:b/>
                <w:bCs/>
                <w:color w:val="FFFFFF"/>
                <w:szCs w:val="20"/>
              </w:rPr>
            </w:pPr>
            <w:r w:rsidRPr="00231845">
              <w:rPr>
                <w:rFonts w:eastAsia="Times New Roman" w:cs="Calibri"/>
                <w:b/>
                <w:bCs/>
                <w:color w:val="FFFFFF"/>
                <w:szCs w:val="20"/>
              </w:rPr>
              <w:t>UNDP</w:t>
            </w:r>
          </w:p>
        </w:tc>
        <w:tc>
          <w:tcPr>
            <w:tcW w:w="2355" w:type="dxa"/>
            <w:gridSpan w:val="2"/>
            <w:tcBorders>
              <w:top w:val="single" w:sz="4" w:space="0" w:color="auto"/>
              <w:left w:val="nil"/>
              <w:bottom w:val="single" w:sz="4" w:space="0" w:color="auto"/>
              <w:right w:val="single" w:sz="4" w:space="0" w:color="auto"/>
            </w:tcBorders>
            <w:shd w:val="clear" w:color="000000" w:fill="2F75B5"/>
            <w:vAlign w:val="center"/>
            <w:hideMark/>
          </w:tcPr>
          <w:p w14:paraId="326879ED" w14:textId="77777777" w:rsidR="00231845" w:rsidRPr="00231845" w:rsidRDefault="00231845" w:rsidP="00231845">
            <w:pPr>
              <w:jc w:val="center"/>
              <w:rPr>
                <w:rFonts w:eastAsia="Times New Roman" w:cs="Calibri"/>
                <w:b/>
                <w:bCs/>
                <w:color w:val="FFFFFF"/>
                <w:szCs w:val="20"/>
              </w:rPr>
            </w:pPr>
            <w:r w:rsidRPr="00231845">
              <w:rPr>
                <w:rFonts w:eastAsia="Times New Roman" w:cs="Calibri"/>
                <w:b/>
                <w:bCs/>
                <w:color w:val="FFFFFF"/>
                <w:szCs w:val="20"/>
              </w:rPr>
              <w:t>UNICEF</w:t>
            </w:r>
          </w:p>
        </w:tc>
        <w:tc>
          <w:tcPr>
            <w:tcW w:w="2355" w:type="dxa"/>
            <w:gridSpan w:val="2"/>
            <w:tcBorders>
              <w:top w:val="single" w:sz="4" w:space="0" w:color="auto"/>
              <w:left w:val="nil"/>
              <w:bottom w:val="single" w:sz="4" w:space="0" w:color="auto"/>
              <w:right w:val="single" w:sz="4" w:space="0" w:color="auto"/>
            </w:tcBorders>
            <w:shd w:val="clear" w:color="000000" w:fill="2F75B5"/>
            <w:vAlign w:val="center"/>
            <w:hideMark/>
          </w:tcPr>
          <w:p w14:paraId="6D1A3D0E" w14:textId="77777777" w:rsidR="00231845" w:rsidRPr="00231845" w:rsidRDefault="00231845" w:rsidP="00231845">
            <w:pPr>
              <w:jc w:val="center"/>
              <w:rPr>
                <w:rFonts w:eastAsia="Times New Roman" w:cs="Calibri"/>
                <w:b/>
                <w:bCs/>
                <w:color w:val="FFFFFF"/>
                <w:szCs w:val="20"/>
              </w:rPr>
            </w:pPr>
            <w:r w:rsidRPr="00231845">
              <w:rPr>
                <w:rFonts w:eastAsia="Times New Roman" w:cs="Calibri"/>
                <w:b/>
                <w:bCs/>
                <w:color w:val="FFFFFF"/>
                <w:szCs w:val="20"/>
              </w:rPr>
              <w:t>WHO</w:t>
            </w:r>
          </w:p>
        </w:tc>
        <w:tc>
          <w:tcPr>
            <w:tcW w:w="2355" w:type="dxa"/>
            <w:gridSpan w:val="2"/>
            <w:tcBorders>
              <w:top w:val="single" w:sz="4" w:space="0" w:color="auto"/>
              <w:left w:val="nil"/>
              <w:bottom w:val="single" w:sz="4" w:space="0" w:color="auto"/>
              <w:right w:val="single" w:sz="4" w:space="0" w:color="auto"/>
            </w:tcBorders>
            <w:shd w:val="clear" w:color="000000" w:fill="2F75B5"/>
            <w:vAlign w:val="center"/>
            <w:hideMark/>
          </w:tcPr>
          <w:p w14:paraId="22A538A0" w14:textId="77777777" w:rsidR="00231845" w:rsidRPr="00231845" w:rsidRDefault="00231845" w:rsidP="00231845">
            <w:pPr>
              <w:jc w:val="center"/>
              <w:rPr>
                <w:rFonts w:eastAsia="Times New Roman" w:cs="Calibri"/>
                <w:b/>
                <w:bCs/>
                <w:color w:val="FFFFFF"/>
                <w:szCs w:val="20"/>
              </w:rPr>
            </w:pPr>
            <w:r w:rsidRPr="00231845">
              <w:rPr>
                <w:rFonts w:eastAsia="Times New Roman" w:cs="Calibri"/>
                <w:b/>
                <w:bCs/>
                <w:color w:val="FFFFFF"/>
                <w:szCs w:val="20"/>
              </w:rPr>
              <w:t>UNFPA</w:t>
            </w:r>
          </w:p>
        </w:tc>
        <w:tc>
          <w:tcPr>
            <w:tcW w:w="2375" w:type="dxa"/>
            <w:gridSpan w:val="2"/>
            <w:tcBorders>
              <w:top w:val="single" w:sz="4" w:space="0" w:color="auto"/>
              <w:left w:val="nil"/>
              <w:bottom w:val="single" w:sz="4" w:space="0" w:color="auto"/>
              <w:right w:val="single" w:sz="4" w:space="0" w:color="auto"/>
            </w:tcBorders>
            <w:shd w:val="clear" w:color="000000" w:fill="2F75B5"/>
            <w:vAlign w:val="center"/>
            <w:hideMark/>
          </w:tcPr>
          <w:p w14:paraId="377A1363" w14:textId="77777777" w:rsidR="00231845" w:rsidRPr="00231845" w:rsidRDefault="00231845" w:rsidP="00231845">
            <w:pPr>
              <w:jc w:val="center"/>
              <w:rPr>
                <w:rFonts w:eastAsia="Times New Roman" w:cs="Calibri"/>
                <w:b/>
                <w:bCs/>
                <w:color w:val="FFFFFF"/>
                <w:sz w:val="24"/>
                <w:szCs w:val="24"/>
              </w:rPr>
            </w:pPr>
            <w:r w:rsidRPr="00231845">
              <w:rPr>
                <w:rFonts w:eastAsia="Times New Roman" w:cs="Calibri"/>
                <w:b/>
                <w:bCs/>
                <w:color w:val="FFFFFF"/>
                <w:sz w:val="24"/>
                <w:szCs w:val="24"/>
              </w:rPr>
              <w:t>TOTAL</w:t>
            </w:r>
          </w:p>
        </w:tc>
      </w:tr>
      <w:tr w:rsidR="006B283A" w:rsidRPr="00231845" w14:paraId="41FA6F16" w14:textId="77777777" w:rsidTr="00231845">
        <w:trPr>
          <w:trHeight w:val="602"/>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6D47C0AB" w14:textId="77777777" w:rsidR="00231845" w:rsidRPr="00231845" w:rsidRDefault="00231845" w:rsidP="00231845">
            <w:pPr>
              <w:rPr>
                <w:rFonts w:eastAsia="Times New Roman" w:cs="Calibri"/>
                <w:b/>
                <w:bCs/>
                <w:color w:val="FFFFFF"/>
                <w:szCs w:val="20"/>
              </w:rPr>
            </w:pPr>
          </w:p>
        </w:tc>
        <w:tc>
          <w:tcPr>
            <w:tcW w:w="1280" w:type="dxa"/>
            <w:tcBorders>
              <w:top w:val="nil"/>
              <w:left w:val="nil"/>
              <w:bottom w:val="single" w:sz="4" w:space="0" w:color="auto"/>
              <w:right w:val="single" w:sz="4" w:space="0" w:color="auto"/>
            </w:tcBorders>
            <w:shd w:val="clear" w:color="000000" w:fill="FFFFFF"/>
            <w:vAlign w:val="center"/>
            <w:hideMark/>
          </w:tcPr>
          <w:p w14:paraId="74B74CEA" w14:textId="77777777" w:rsidR="00231845" w:rsidRPr="00231845" w:rsidRDefault="00231845" w:rsidP="00231845">
            <w:pPr>
              <w:jc w:val="center"/>
              <w:rPr>
                <w:rFonts w:eastAsia="Times New Roman" w:cs="Calibri"/>
                <w:sz w:val="16"/>
                <w:szCs w:val="16"/>
              </w:rPr>
            </w:pPr>
            <w:r w:rsidRPr="00231845">
              <w:rPr>
                <w:rFonts w:eastAsia="Times New Roman" w:cs="Calibri"/>
                <w:sz w:val="16"/>
                <w:szCs w:val="16"/>
              </w:rPr>
              <w:t>Joint SDG Fund</w:t>
            </w:r>
            <w:r w:rsidRPr="00231845">
              <w:rPr>
                <w:rFonts w:eastAsia="Times New Roman" w:cs="Calibri"/>
                <w:sz w:val="16"/>
                <w:szCs w:val="16"/>
              </w:rPr>
              <w:br/>
              <w:t>(USD)</w:t>
            </w:r>
          </w:p>
        </w:tc>
        <w:tc>
          <w:tcPr>
            <w:tcW w:w="1180" w:type="dxa"/>
            <w:tcBorders>
              <w:top w:val="nil"/>
              <w:left w:val="nil"/>
              <w:bottom w:val="single" w:sz="4" w:space="0" w:color="auto"/>
              <w:right w:val="single" w:sz="4" w:space="0" w:color="auto"/>
            </w:tcBorders>
            <w:shd w:val="clear" w:color="000000" w:fill="D9E1F2"/>
            <w:vAlign w:val="center"/>
            <w:hideMark/>
          </w:tcPr>
          <w:p w14:paraId="370EA352" w14:textId="77777777" w:rsidR="00231845" w:rsidRPr="00231845" w:rsidRDefault="00231845" w:rsidP="00231845">
            <w:pPr>
              <w:jc w:val="center"/>
              <w:rPr>
                <w:rFonts w:eastAsia="Times New Roman" w:cs="Calibri"/>
                <w:sz w:val="16"/>
                <w:szCs w:val="16"/>
              </w:rPr>
            </w:pPr>
            <w:r w:rsidRPr="00231845">
              <w:rPr>
                <w:rFonts w:eastAsia="Times New Roman" w:cs="Calibri"/>
                <w:sz w:val="16"/>
                <w:szCs w:val="16"/>
              </w:rPr>
              <w:t>PUNO Contribution (USD)</w:t>
            </w:r>
          </w:p>
        </w:tc>
        <w:tc>
          <w:tcPr>
            <w:tcW w:w="1280" w:type="dxa"/>
            <w:tcBorders>
              <w:top w:val="nil"/>
              <w:left w:val="nil"/>
              <w:bottom w:val="single" w:sz="4" w:space="0" w:color="auto"/>
              <w:right w:val="single" w:sz="4" w:space="0" w:color="auto"/>
            </w:tcBorders>
            <w:shd w:val="clear" w:color="000000" w:fill="FFFFFF"/>
            <w:vAlign w:val="center"/>
            <w:hideMark/>
          </w:tcPr>
          <w:p w14:paraId="479C536F" w14:textId="77777777" w:rsidR="00231845" w:rsidRPr="00231845" w:rsidRDefault="00231845" w:rsidP="00231845">
            <w:pPr>
              <w:jc w:val="center"/>
              <w:rPr>
                <w:rFonts w:eastAsia="Times New Roman" w:cs="Calibri"/>
                <w:sz w:val="16"/>
                <w:szCs w:val="16"/>
              </w:rPr>
            </w:pPr>
            <w:r w:rsidRPr="00231845">
              <w:rPr>
                <w:rFonts w:eastAsia="Times New Roman" w:cs="Calibri"/>
                <w:sz w:val="16"/>
                <w:szCs w:val="16"/>
              </w:rPr>
              <w:t>Joint SDG Fund</w:t>
            </w:r>
            <w:r w:rsidRPr="00231845">
              <w:rPr>
                <w:rFonts w:eastAsia="Times New Roman" w:cs="Calibri"/>
                <w:sz w:val="16"/>
                <w:szCs w:val="16"/>
              </w:rPr>
              <w:br/>
              <w:t>(USD)</w:t>
            </w:r>
          </w:p>
        </w:tc>
        <w:tc>
          <w:tcPr>
            <w:tcW w:w="1075" w:type="dxa"/>
            <w:tcBorders>
              <w:top w:val="nil"/>
              <w:left w:val="nil"/>
              <w:bottom w:val="single" w:sz="4" w:space="0" w:color="auto"/>
              <w:right w:val="single" w:sz="4" w:space="0" w:color="auto"/>
            </w:tcBorders>
            <w:shd w:val="clear" w:color="000000" w:fill="D9E1F2"/>
            <w:vAlign w:val="center"/>
            <w:hideMark/>
          </w:tcPr>
          <w:p w14:paraId="5339B093" w14:textId="77777777" w:rsidR="00231845" w:rsidRPr="00231845" w:rsidRDefault="00231845" w:rsidP="00231845">
            <w:pPr>
              <w:jc w:val="center"/>
              <w:rPr>
                <w:rFonts w:eastAsia="Times New Roman" w:cs="Calibri"/>
                <w:sz w:val="16"/>
                <w:szCs w:val="16"/>
              </w:rPr>
            </w:pPr>
            <w:r w:rsidRPr="00231845">
              <w:rPr>
                <w:rFonts w:eastAsia="Times New Roman" w:cs="Calibri"/>
                <w:sz w:val="16"/>
                <w:szCs w:val="16"/>
              </w:rPr>
              <w:t>PUNO Contribution (USD)</w:t>
            </w:r>
          </w:p>
        </w:tc>
        <w:tc>
          <w:tcPr>
            <w:tcW w:w="1280" w:type="dxa"/>
            <w:tcBorders>
              <w:top w:val="nil"/>
              <w:left w:val="nil"/>
              <w:bottom w:val="single" w:sz="4" w:space="0" w:color="auto"/>
              <w:right w:val="single" w:sz="4" w:space="0" w:color="auto"/>
            </w:tcBorders>
            <w:shd w:val="clear" w:color="000000" w:fill="FFFFFF"/>
            <w:vAlign w:val="center"/>
            <w:hideMark/>
          </w:tcPr>
          <w:p w14:paraId="6737DCC7" w14:textId="77777777" w:rsidR="00231845" w:rsidRPr="00231845" w:rsidRDefault="00231845" w:rsidP="00231845">
            <w:pPr>
              <w:jc w:val="center"/>
              <w:rPr>
                <w:rFonts w:eastAsia="Times New Roman" w:cs="Calibri"/>
                <w:sz w:val="16"/>
                <w:szCs w:val="16"/>
              </w:rPr>
            </w:pPr>
            <w:r w:rsidRPr="00231845">
              <w:rPr>
                <w:rFonts w:eastAsia="Times New Roman" w:cs="Calibri"/>
                <w:sz w:val="16"/>
                <w:szCs w:val="16"/>
              </w:rPr>
              <w:t>Joint SDG Fund</w:t>
            </w:r>
            <w:r w:rsidRPr="00231845">
              <w:rPr>
                <w:rFonts w:eastAsia="Times New Roman" w:cs="Calibri"/>
                <w:sz w:val="16"/>
                <w:szCs w:val="16"/>
              </w:rPr>
              <w:br/>
              <w:t>(USD)</w:t>
            </w:r>
          </w:p>
        </w:tc>
        <w:tc>
          <w:tcPr>
            <w:tcW w:w="1075" w:type="dxa"/>
            <w:tcBorders>
              <w:top w:val="nil"/>
              <w:left w:val="nil"/>
              <w:bottom w:val="single" w:sz="4" w:space="0" w:color="auto"/>
              <w:right w:val="single" w:sz="4" w:space="0" w:color="auto"/>
            </w:tcBorders>
            <w:shd w:val="clear" w:color="000000" w:fill="D9E1F2"/>
            <w:vAlign w:val="center"/>
            <w:hideMark/>
          </w:tcPr>
          <w:p w14:paraId="651DB547" w14:textId="77777777" w:rsidR="00231845" w:rsidRPr="00231845" w:rsidRDefault="00231845" w:rsidP="00231845">
            <w:pPr>
              <w:jc w:val="center"/>
              <w:rPr>
                <w:rFonts w:eastAsia="Times New Roman" w:cs="Calibri"/>
                <w:sz w:val="16"/>
                <w:szCs w:val="16"/>
              </w:rPr>
            </w:pPr>
            <w:r w:rsidRPr="00231845">
              <w:rPr>
                <w:rFonts w:eastAsia="Times New Roman" w:cs="Calibri"/>
                <w:sz w:val="16"/>
                <w:szCs w:val="16"/>
              </w:rPr>
              <w:t>PUNO Contribution (USD)</w:t>
            </w:r>
          </w:p>
        </w:tc>
        <w:tc>
          <w:tcPr>
            <w:tcW w:w="1280" w:type="dxa"/>
            <w:tcBorders>
              <w:top w:val="nil"/>
              <w:left w:val="nil"/>
              <w:bottom w:val="single" w:sz="4" w:space="0" w:color="auto"/>
              <w:right w:val="single" w:sz="4" w:space="0" w:color="auto"/>
            </w:tcBorders>
            <w:shd w:val="clear" w:color="000000" w:fill="FFFFFF"/>
            <w:vAlign w:val="center"/>
            <w:hideMark/>
          </w:tcPr>
          <w:p w14:paraId="3FC04FB7" w14:textId="77777777" w:rsidR="00231845" w:rsidRPr="00231845" w:rsidRDefault="00231845" w:rsidP="00231845">
            <w:pPr>
              <w:jc w:val="center"/>
              <w:rPr>
                <w:rFonts w:eastAsia="Times New Roman" w:cs="Calibri"/>
                <w:sz w:val="16"/>
                <w:szCs w:val="16"/>
              </w:rPr>
            </w:pPr>
            <w:r w:rsidRPr="00231845">
              <w:rPr>
                <w:rFonts w:eastAsia="Times New Roman" w:cs="Calibri"/>
                <w:sz w:val="16"/>
                <w:szCs w:val="16"/>
              </w:rPr>
              <w:t>Joint SDG Fund</w:t>
            </w:r>
            <w:r w:rsidRPr="00231845">
              <w:rPr>
                <w:rFonts w:eastAsia="Times New Roman" w:cs="Calibri"/>
                <w:sz w:val="16"/>
                <w:szCs w:val="16"/>
              </w:rPr>
              <w:br/>
              <w:t>(USD)</w:t>
            </w:r>
          </w:p>
        </w:tc>
        <w:tc>
          <w:tcPr>
            <w:tcW w:w="1075" w:type="dxa"/>
            <w:tcBorders>
              <w:top w:val="nil"/>
              <w:left w:val="nil"/>
              <w:bottom w:val="single" w:sz="4" w:space="0" w:color="auto"/>
              <w:right w:val="single" w:sz="4" w:space="0" w:color="auto"/>
            </w:tcBorders>
            <w:shd w:val="clear" w:color="000000" w:fill="D9E1F2"/>
            <w:vAlign w:val="center"/>
            <w:hideMark/>
          </w:tcPr>
          <w:p w14:paraId="4FBF0109" w14:textId="77777777" w:rsidR="00231845" w:rsidRPr="00231845" w:rsidRDefault="00231845" w:rsidP="00231845">
            <w:pPr>
              <w:jc w:val="center"/>
              <w:rPr>
                <w:rFonts w:eastAsia="Times New Roman" w:cs="Calibri"/>
                <w:sz w:val="16"/>
                <w:szCs w:val="16"/>
              </w:rPr>
            </w:pPr>
            <w:r w:rsidRPr="00231845">
              <w:rPr>
                <w:rFonts w:eastAsia="Times New Roman" w:cs="Calibri"/>
                <w:sz w:val="16"/>
                <w:szCs w:val="16"/>
              </w:rPr>
              <w:t>PUNO Contribution (USD)</w:t>
            </w:r>
          </w:p>
        </w:tc>
        <w:tc>
          <w:tcPr>
            <w:tcW w:w="1280" w:type="dxa"/>
            <w:tcBorders>
              <w:top w:val="nil"/>
              <w:left w:val="nil"/>
              <w:bottom w:val="single" w:sz="4" w:space="0" w:color="auto"/>
              <w:right w:val="single" w:sz="4" w:space="0" w:color="auto"/>
            </w:tcBorders>
            <w:shd w:val="clear" w:color="000000" w:fill="FFFFFF"/>
            <w:vAlign w:val="center"/>
            <w:hideMark/>
          </w:tcPr>
          <w:p w14:paraId="6D97A323" w14:textId="77777777" w:rsidR="00231845" w:rsidRPr="00231845" w:rsidRDefault="00231845" w:rsidP="00231845">
            <w:pPr>
              <w:jc w:val="center"/>
              <w:rPr>
                <w:rFonts w:eastAsia="Times New Roman" w:cs="Calibri"/>
                <w:b/>
                <w:bCs/>
                <w:sz w:val="16"/>
                <w:szCs w:val="16"/>
              </w:rPr>
            </w:pPr>
            <w:r w:rsidRPr="00231845">
              <w:rPr>
                <w:rFonts w:eastAsia="Times New Roman" w:cs="Calibri"/>
                <w:b/>
                <w:bCs/>
                <w:sz w:val="16"/>
                <w:szCs w:val="16"/>
              </w:rPr>
              <w:t>Joint SDG Fund</w:t>
            </w:r>
            <w:r w:rsidRPr="00231845">
              <w:rPr>
                <w:rFonts w:eastAsia="Times New Roman" w:cs="Calibri"/>
                <w:b/>
                <w:bCs/>
                <w:sz w:val="16"/>
                <w:szCs w:val="16"/>
              </w:rPr>
              <w:br/>
              <w:t>(USD)</w:t>
            </w:r>
          </w:p>
        </w:tc>
        <w:tc>
          <w:tcPr>
            <w:tcW w:w="1095" w:type="dxa"/>
            <w:tcBorders>
              <w:top w:val="nil"/>
              <w:left w:val="nil"/>
              <w:bottom w:val="single" w:sz="4" w:space="0" w:color="auto"/>
              <w:right w:val="single" w:sz="4" w:space="0" w:color="auto"/>
            </w:tcBorders>
            <w:shd w:val="clear" w:color="000000" w:fill="D9E1F2"/>
            <w:vAlign w:val="center"/>
            <w:hideMark/>
          </w:tcPr>
          <w:p w14:paraId="6D5A72FE" w14:textId="77777777" w:rsidR="00231845" w:rsidRPr="00231845" w:rsidRDefault="00231845" w:rsidP="00231845">
            <w:pPr>
              <w:jc w:val="center"/>
              <w:rPr>
                <w:rFonts w:eastAsia="Times New Roman" w:cs="Calibri"/>
                <w:b/>
                <w:bCs/>
                <w:sz w:val="16"/>
                <w:szCs w:val="16"/>
              </w:rPr>
            </w:pPr>
            <w:r w:rsidRPr="00231845">
              <w:rPr>
                <w:rFonts w:eastAsia="Times New Roman" w:cs="Calibri"/>
                <w:b/>
                <w:bCs/>
                <w:sz w:val="16"/>
                <w:szCs w:val="16"/>
              </w:rPr>
              <w:t>PUNO Contribution (USD)</w:t>
            </w:r>
          </w:p>
        </w:tc>
      </w:tr>
      <w:tr w:rsidR="006B283A" w:rsidRPr="00231845" w14:paraId="6B0B6C5D" w14:textId="77777777" w:rsidTr="00231845">
        <w:trPr>
          <w:trHeight w:val="27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3F847FBA" w14:textId="77777777" w:rsidR="00231845" w:rsidRPr="00231845" w:rsidRDefault="00231845" w:rsidP="00231845">
            <w:pPr>
              <w:rPr>
                <w:rFonts w:eastAsia="Times New Roman" w:cs="Calibri"/>
                <w:color w:val="000000"/>
                <w:sz w:val="16"/>
                <w:szCs w:val="16"/>
              </w:rPr>
            </w:pPr>
            <w:r w:rsidRPr="00231845">
              <w:rPr>
                <w:rFonts w:eastAsia="Times New Roman" w:cs="Calibri"/>
                <w:color w:val="000000"/>
                <w:sz w:val="16"/>
                <w:szCs w:val="16"/>
              </w:rPr>
              <w:t xml:space="preserve">1. Staff and other personnel </w:t>
            </w:r>
          </w:p>
        </w:tc>
        <w:tc>
          <w:tcPr>
            <w:tcW w:w="1280" w:type="dxa"/>
            <w:tcBorders>
              <w:top w:val="nil"/>
              <w:left w:val="nil"/>
              <w:bottom w:val="single" w:sz="4" w:space="0" w:color="auto"/>
              <w:right w:val="single" w:sz="4" w:space="0" w:color="auto"/>
            </w:tcBorders>
            <w:shd w:val="clear" w:color="auto" w:fill="auto"/>
            <w:vAlign w:val="center"/>
            <w:hideMark/>
          </w:tcPr>
          <w:p w14:paraId="5924C927"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0 </w:t>
            </w:r>
          </w:p>
        </w:tc>
        <w:tc>
          <w:tcPr>
            <w:tcW w:w="1180" w:type="dxa"/>
            <w:tcBorders>
              <w:top w:val="nil"/>
              <w:left w:val="nil"/>
              <w:bottom w:val="single" w:sz="4" w:space="0" w:color="auto"/>
              <w:right w:val="single" w:sz="4" w:space="0" w:color="auto"/>
            </w:tcBorders>
            <w:shd w:val="clear" w:color="000000" w:fill="D9E1F2"/>
            <w:vAlign w:val="center"/>
            <w:hideMark/>
          </w:tcPr>
          <w:p w14:paraId="7345BB0D"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20,545</w:t>
            </w:r>
          </w:p>
        </w:tc>
        <w:tc>
          <w:tcPr>
            <w:tcW w:w="1280" w:type="dxa"/>
            <w:tcBorders>
              <w:top w:val="nil"/>
              <w:left w:val="nil"/>
              <w:bottom w:val="single" w:sz="4" w:space="0" w:color="auto"/>
              <w:right w:val="single" w:sz="4" w:space="0" w:color="auto"/>
            </w:tcBorders>
            <w:shd w:val="clear" w:color="auto" w:fill="auto"/>
            <w:vAlign w:val="center"/>
            <w:hideMark/>
          </w:tcPr>
          <w:p w14:paraId="5525D26A"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0 </w:t>
            </w:r>
          </w:p>
        </w:tc>
        <w:tc>
          <w:tcPr>
            <w:tcW w:w="1075" w:type="dxa"/>
            <w:tcBorders>
              <w:top w:val="nil"/>
              <w:left w:val="nil"/>
              <w:bottom w:val="single" w:sz="4" w:space="0" w:color="auto"/>
              <w:right w:val="single" w:sz="4" w:space="0" w:color="auto"/>
            </w:tcBorders>
            <w:shd w:val="clear" w:color="000000" w:fill="D9E1F2"/>
            <w:vAlign w:val="center"/>
            <w:hideMark/>
          </w:tcPr>
          <w:p w14:paraId="27060D8B"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w:t>
            </w:r>
          </w:p>
        </w:tc>
        <w:tc>
          <w:tcPr>
            <w:tcW w:w="1280" w:type="dxa"/>
            <w:tcBorders>
              <w:top w:val="nil"/>
              <w:left w:val="nil"/>
              <w:bottom w:val="single" w:sz="4" w:space="0" w:color="auto"/>
              <w:right w:val="single" w:sz="4" w:space="0" w:color="auto"/>
            </w:tcBorders>
            <w:shd w:val="clear" w:color="auto" w:fill="auto"/>
            <w:vAlign w:val="center"/>
            <w:hideMark/>
          </w:tcPr>
          <w:p w14:paraId="2E424997"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0 </w:t>
            </w:r>
          </w:p>
        </w:tc>
        <w:tc>
          <w:tcPr>
            <w:tcW w:w="1075" w:type="dxa"/>
            <w:tcBorders>
              <w:top w:val="nil"/>
              <w:left w:val="nil"/>
              <w:bottom w:val="single" w:sz="4" w:space="0" w:color="auto"/>
              <w:right w:val="single" w:sz="4" w:space="0" w:color="auto"/>
            </w:tcBorders>
            <w:shd w:val="clear" w:color="000000" w:fill="D9E1F2"/>
            <w:vAlign w:val="center"/>
            <w:hideMark/>
          </w:tcPr>
          <w:p w14:paraId="400DF342"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35,000 </w:t>
            </w:r>
          </w:p>
        </w:tc>
        <w:tc>
          <w:tcPr>
            <w:tcW w:w="1280" w:type="dxa"/>
            <w:tcBorders>
              <w:top w:val="nil"/>
              <w:left w:val="nil"/>
              <w:bottom w:val="single" w:sz="4" w:space="0" w:color="auto"/>
              <w:right w:val="nil"/>
            </w:tcBorders>
            <w:shd w:val="clear" w:color="auto" w:fill="auto"/>
            <w:vAlign w:val="center"/>
            <w:hideMark/>
          </w:tcPr>
          <w:p w14:paraId="7239F6CD"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0 </w:t>
            </w:r>
          </w:p>
        </w:tc>
        <w:tc>
          <w:tcPr>
            <w:tcW w:w="1075" w:type="dxa"/>
            <w:tcBorders>
              <w:top w:val="nil"/>
              <w:left w:val="single" w:sz="4" w:space="0" w:color="auto"/>
              <w:bottom w:val="single" w:sz="4" w:space="0" w:color="auto"/>
              <w:right w:val="single" w:sz="4" w:space="0" w:color="auto"/>
            </w:tcBorders>
            <w:shd w:val="clear" w:color="000000" w:fill="D9E1F2"/>
            <w:vAlign w:val="center"/>
            <w:hideMark/>
          </w:tcPr>
          <w:p w14:paraId="34BE0FC8"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35,000 </w:t>
            </w:r>
          </w:p>
        </w:tc>
        <w:tc>
          <w:tcPr>
            <w:tcW w:w="1280" w:type="dxa"/>
            <w:tcBorders>
              <w:top w:val="nil"/>
              <w:left w:val="nil"/>
              <w:bottom w:val="single" w:sz="4" w:space="0" w:color="auto"/>
              <w:right w:val="single" w:sz="4" w:space="0" w:color="auto"/>
            </w:tcBorders>
            <w:shd w:val="clear" w:color="auto" w:fill="auto"/>
            <w:vAlign w:val="center"/>
            <w:hideMark/>
          </w:tcPr>
          <w:p w14:paraId="7A70487D"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0 </w:t>
            </w:r>
          </w:p>
        </w:tc>
        <w:tc>
          <w:tcPr>
            <w:tcW w:w="1095" w:type="dxa"/>
            <w:vMerge w:val="restart"/>
            <w:tcBorders>
              <w:top w:val="nil"/>
              <w:left w:val="single" w:sz="4" w:space="0" w:color="auto"/>
              <w:bottom w:val="nil"/>
              <w:right w:val="single" w:sz="4" w:space="0" w:color="auto"/>
            </w:tcBorders>
            <w:shd w:val="clear" w:color="000000" w:fill="D9E1F2"/>
            <w:vAlign w:val="center"/>
            <w:hideMark/>
          </w:tcPr>
          <w:p w14:paraId="4099E5A3"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540,900 </w:t>
            </w:r>
          </w:p>
        </w:tc>
      </w:tr>
      <w:tr w:rsidR="006B283A" w:rsidRPr="00231845" w14:paraId="2544541C" w14:textId="77777777" w:rsidTr="00231845">
        <w:trPr>
          <w:trHeight w:val="27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304916EF" w14:textId="77777777" w:rsidR="00231845" w:rsidRPr="00231845" w:rsidRDefault="00231845" w:rsidP="00231845">
            <w:pPr>
              <w:rPr>
                <w:rFonts w:eastAsia="Times New Roman" w:cs="Calibri"/>
                <w:color w:val="000000"/>
                <w:sz w:val="16"/>
                <w:szCs w:val="16"/>
              </w:rPr>
            </w:pPr>
            <w:r w:rsidRPr="00231845">
              <w:rPr>
                <w:rFonts w:eastAsia="Times New Roman" w:cs="Calibri"/>
                <w:color w:val="000000"/>
                <w:sz w:val="16"/>
                <w:szCs w:val="16"/>
              </w:rPr>
              <w:t xml:space="preserve">2. Supplies, Commodities, Materials </w:t>
            </w:r>
          </w:p>
        </w:tc>
        <w:tc>
          <w:tcPr>
            <w:tcW w:w="1280" w:type="dxa"/>
            <w:tcBorders>
              <w:top w:val="nil"/>
              <w:left w:val="nil"/>
              <w:bottom w:val="single" w:sz="4" w:space="0" w:color="auto"/>
              <w:right w:val="single" w:sz="4" w:space="0" w:color="auto"/>
            </w:tcBorders>
            <w:shd w:val="clear" w:color="auto" w:fill="auto"/>
            <w:vAlign w:val="center"/>
            <w:hideMark/>
          </w:tcPr>
          <w:p w14:paraId="7F019F12"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36,552 </w:t>
            </w:r>
          </w:p>
        </w:tc>
        <w:tc>
          <w:tcPr>
            <w:tcW w:w="1180" w:type="dxa"/>
            <w:tcBorders>
              <w:top w:val="nil"/>
              <w:left w:val="nil"/>
              <w:bottom w:val="single" w:sz="4" w:space="0" w:color="auto"/>
              <w:right w:val="single" w:sz="4" w:space="0" w:color="auto"/>
            </w:tcBorders>
            <w:shd w:val="clear" w:color="000000" w:fill="D9E1F2"/>
            <w:vAlign w:val="center"/>
            <w:hideMark/>
          </w:tcPr>
          <w:p w14:paraId="7C4063FB"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49,000</w:t>
            </w:r>
          </w:p>
        </w:tc>
        <w:tc>
          <w:tcPr>
            <w:tcW w:w="1280" w:type="dxa"/>
            <w:tcBorders>
              <w:top w:val="nil"/>
              <w:left w:val="nil"/>
              <w:bottom w:val="single" w:sz="4" w:space="0" w:color="auto"/>
              <w:right w:val="single" w:sz="4" w:space="0" w:color="auto"/>
            </w:tcBorders>
            <w:shd w:val="clear" w:color="auto" w:fill="auto"/>
            <w:vAlign w:val="center"/>
            <w:hideMark/>
          </w:tcPr>
          <w:p w14:paraId="4D488A7F"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0 </w:t>
            </w:r>
          </w:p>
        </w:tc>
        <w:tc>
          <w:tcPr>
            <w:tcW w:w="1075" w:type="dxa"/>
            <w:tcBorders>
              <w:top w:val="nil"/>
              <w:left w:val="nil"/>
              <w:bottom w:val="single" w:sz="4" w:space="0" w:color="auto"/>
              <w:right w:val="single" w:sz="4" w:space="0" w:color="auto"/>
            </w:tcBorders>
            <w:shd w:val="clear" w:color="000000" w:fill="D9E1F2"/>
            <w:vAlign w:val="center"/>
            <w:hideMark/>
          </w:tcPr>
          <w:p w14:paraId="72F5FCC8" w14:textId="77777777" w:rsidR="00231845" w:rsidRPr="00231845" w:rsidRDefault="00231845" w:rsidP="00231845">
            <w:pPr>
              <w:jc w:val="center"/>
              <w:rPr>
                <w:rFonts w:eastAsia="Times New Roman" w:cs="Calibri"/>
                <w:sz w:val="22"/>
              </w:rPr>
            </w:pPr>
            <w:r w:rsidRPr="00231845">
              <w:rPr>
                <w:rFonts w:eastAsia="Times New Roman" w:cs="Calibri"/>
                <w:sz w:val="22"/>
              </w:rPr>
              <w:t> </w:t>
            </w:r>
          </w:p>
        </w:tc>
        <w:tc>
          <w:tcPr>
            <w:tcW w:w="1280" w:type="dxa"/>
            <w:tcBorders>
              <w:top w:val="nil"/>
              <w:left w:val="nil"/>
              <w:bottom w:val="single" w:sz="4" w:space="0" w:color="auto"/>
              <w:right w:val="single" w:sz="4" w:space="0" w:color="auto"/>
            </w:tcBorders>
            <w:shd w:val="clear" w:color="auto" w:fill="auto"/>
            <w:vAlign w:val="center"/>
            <w:hideMark/>
          </w:tcPr>
          <w:p w14:paraId="61EF6BE8"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1,000 </w:t>
            </w:r>
          </w:p>
        </w:tc>
        <w:tc>
          <w:tcPr>
            <w:tcW w:w="1075" w:type="dxa"/>
            <w:tcBorders>
              <w:top w:val="nil"/>
              <w:left w:val="nil"/>
              <w:bottom w:val="single" w:sz="4" w:space="0" w:color="auto"/>
              <w:right w:val="single" w:sz="4" w:space="0" w:color="auto"/>
            </w:tcBorders>
            <w:shd w:val="clear" w:color="000000" w:fill="D9E1F2"/>
            <w:vAlign w:val="center"/>
            <w:hideMark/>
          </w:tcPr>
          <w:p w14:paraId="390B88CF" w14:textId="77777777" w:rsidR="00231845" w:rsidRPr="00231845" w:rsidRDefault="00231845" w:rsidP="00231845">
            <w:pPr>
              <w:jc w:val="center"/>
              <w:rPr>
                <w:rFonts w:eastAsia="Times New Roman" w:cs="Calibri"/>
                <w:sz w:val="22"/>
              </w:rPr>
            </w:pPr>
            <w:r w:rsidRPr="00231845">
              <w:rPr>
                <w:rFonts w:eastAsia="Times New Roman" w:cs="Calibri"/>
                <w:sz w:val="22"/>
              </w:rPr>
              <w:t> </w:t>
            </w:r>
          </w:p>
        </w:tc>
        <w:tc>
          <w:tcPr>
            <w:tcW w:w="1280" w:type="dxa"/>
            <w:tcBorders>
              <w:top w:val="nil"/>
              <w:left w:val="nil"/>
              <w:bottom w:val="single" w:sz="4" w:space="0" w:color="auto"/>
              <w:right w:val="nil"/>
            </w:tcBorders>
            <w:shd w:val="clear" w:color="auto" w:fill="auto"/>
            <w:vAlign w:val="center"/>
            <w:hideMark/>
          </w:tcPr>
          <w:p w14:paraId="0A8C4BC3"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0 </w:t>
            </w:r>
          </w:p>
        </w:tc>
        <w:tc>
          <w:tcPr>
            <w:tcW w:w="1075" w:type="dxa"/>
            <w:tcBorders>
              <w:top w:val="nil"/>
              <w:left w:val="single" w:sz="4" w:space="0" w:color="auto"/>
              <w:bottom w:val="single" w:sz="4" w:space="0" w:color="auto"/>
              <w:right w:val="single" w:sz="4" w:space="0" w:color="auto"/>
            </w:tcBorders>
            <w:shd w:val="clear" w:color="000000" w:fill="D9E1F2"/>
            <w:vAlign w:val="center"/>
            <w:hideMark/>
          </w:tcPr>
          <w:p w14:paraId="43433428"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w:t>
            </w:r>
          </w:p>
        </w:tc>
        <w:tc>
          <w:tcPr>
            <w:tcW w:w="1280" w:type="dxa"/>
            <w:tcBorders>
              <w:top w:val="nil"/>
              <w:left w:val="nil"/>
              <w:bottom w:val="single" w:sz="4" w:space="0" w:color="auto"/>
              <w:right w:val="single" w:sz="4" w:space="0" w:color="auto"/>
            </w:tcBorders>
            <w:shd w:val="clear" w:color="auto" w:fill="auto"/>
            <w:vAlign w:val="center"/>
            <w:hideMark/>
          </w:tcPr>
          <w:p w14:paraId="0434C4D7"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37,552 </w:t>
            </w:r>
          </w:p>
        </w:tc>
        <w:tc>
          <w:tcPr>
            <w:tcW w:w="1095" w:type="dxa"/>
            <w:vMerge/>
            <w:tcBorders>
              <w:top w:val="nil"/>
              <w:left w:val="single" w:sz="4" w:space="0" w:color="auto"/>
              <w:bottom w:val="nil"/>
              <w:right w:val="single" w:sz="4" w:space="0" w:color="auto"/>
            </w:tcBorders>
            <w:vAlign w:val="center"/>
            <w:hideMark/>
          </w:tcPr>
          <w:p w14:paraId="77702B91" w14:textId="77777777" w:rsidR="00231845" w:rsidRPr="00231845" w:rsidRDefault="00231845" w:rsidP="00231845">
            <w:pPr>
              <w:rPr>
                <w:rFonts w:eastAsia="Times New Roman" w:cs="Calibri"/>
                <w:sz w:val="18"/>
                <w:szCs w:val="18"/>
              </w:rPr>
            </w:pPr>
          </w:p>
        </w:tc>
      </w:tr>
      <w:tr w:rsidR="006B283A" w:rsidRPr="00231845" w14:paraId="39EFE90F" w14:textId="77777777" w:rsidTr="00231845">
        <w:trPr>
          <w:trHeight w:val="451"/>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495B8885" w14:textId="77777777" w:rsidR="00231845" w:rsidRPr="00231845" w:rsidRDefault="00231845" w:rsidP="00231845">
            <w:pPr>
              <w:rPr>
                <w:rFonts w:eastAsia="Times New Roman" w:cs="Calibri"/>
                <w:color w:val="000000"/>
                <w:sz w:val="16"/>
                <w:szCs w:val="16"/>
              </w:rPr>
            </w:pPr>
            <w:r w:rsidRPr="00231845">
              <w:rPr>
                <w:rFonts w:eastAsia="Times New Roman" w:cs="Calibri"/>
                <w:color w:val="000000"/>
                <w:sz w:val="16"/>
                <w:szCs w:val="16"/>
              </w:rPr>
              <w:t xml:space="preserve">3. Equipment, Vehicles, and Furniture (including Depreciation) </w:t>
            </w:r>
          </w:p>
        </w:tc>
        <w:tc>
          <w:tcPr>
            <w:tcW w:w="1280" w:type="dxa"/>
            <w:tcBorders>
              <w:top w:val="nil"/>
              <w:left w:val="nil"/>
              <w:bottom w:val="single" w:sz="4" w:space="0" w:color="auto"/>
              <w:right w:val="single" w:sz="4" w:space="0" w:color="auto"/>
            </w:tcBorders>
            <w:shd w:val="clear" w:color="auto" w:fill="auto"/>
            <w:vAlign w:val="center"/>
            <w:hideMark/>
          </w:tcPr>
          <w:p w14:paraId="579121B1"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0 </w:t>
            </w:r>
          </w:p>
        </w:tc>
        <w:tc>
          <w:tcPr>
            <w:tcW w:w="1180" w:type="dxa"/>
            <w:tcBorders>
              <w:top w:val="nil"/>
              <w:left w:val="nil"/>
              <w:bottom w:val="single" w:sz="4" w:space="0" w:color="auto"/>
              <w:right w:val="single" w:sz="4" w:space="0" w:color="auto"/>
            </w:tcBorders>
            <w:shd w:val="clear" w:color="000000" w:fill="D9E1F2"/>
            <w:vAlign w:val="center"/>
            <w:hideMark/>
          </w:tcPr>
          <w:p w14:paraId="75C67929"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75,000</w:t>
            </w:r>
          </w:p>
        </w:tc>
        <w:tc>
          <w:tcPr>
            <w:tcW w:w="1280" w:type="dxa"/>
            <w:tcBorders>
              <w:top w:val="nil"/>
              <w:left w:val="nil"/>
              <w:bottom w:val="single" w:sz="4" w:space="0" w:color="auto"/>
              <w:right w:val="single" w:sz="4" w:space="0" w:color="auto"/>
            </w:tcBorders>
            <w:shd w:val="clear" w:color="auto" w:fill="auto"/>
            <w:vAlign w:val="center"/>
            <w:hideMark/>
          </w:tcPr>
          <w:p w14:paraId="5A230F61"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0 </w:t>
            </w:r>
          </w:p>
        </w:tc>
        <w:tc>
          <w:tcPr>
            <w:tcW w:w="1075" w:type="dxa"/>
            <w:tcBorders>
              <w:top w:val="nil"/>
              <w:left w:val="nil"/>
              <w:bottom w:val="single" w:sz="4" w:space="0" w:color="auto"/>
              <w:right w:val="single" w:sz="4" w:space="0" w:color="auto"/>
            </w:tcBorders>
            <w:shd w:val="clear" w:color="000000" w:fill="D9E1F2"/>
            <w:vAlign w:val="center"/>
            <w:hideMark/>
          </w:tcPr>
          <w:p w14:paraId="0E11F540" w14:textId="77777777" w:rsidR="00231845" w:rsidRPr="00231845" w:rsidRDefault="00231845" w:rsidP="00231845">
            <w:pPr>
              <w:jc w:val="center"/>
              <w:rPr>
                <w:rFonts w:eastAsia="Times New Roman" w:cs="Calibri"/>
                <w:sz w:val="22"/>
              </w:rPr>
            </w:pPr>
            <w:r w:rsidRPr="00231845">
              <w:rPr>
                <w:rFonts w:eastAsia="Times New Roman" w:cs="Calibri"/>
                <w:sz w:val="22"/>
              </w:rPr>
              <w:t> </w:t>
            </w:r>
          </w:p>
        </w:tc>
        <w:tc>
          <w:tcPr>
            <w:tcW w:w="1280" w:type="dxa"/>
            <w:tcBorders>
              <w:top w:val="nil"/>
              <w:left w:val="nil"/>
              <w:bottom w:val="single" w:sz="4" w:space="0" w:color="auto"/>
              <w:right w:val="single" w:sz="4" w:space="0" w:color="auto"/>
            </w:tcBorders>
            <w:shd w:val="clear" w:color="auto" w:fill="auto"/>
            <w:vAlign w:val="center"/>
            <w:hideMark/>
          </w:tcPr>
          <w:p w14:paraId="61FA5923"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0 </w:t>
            </w:r>
          </w:p>
        </w:tc>
        <w:tc>
          <w:tcPr>
            <w:tcW w:w="1075" w:type="dxa"/>
            <w:tcBorders>
              <w:top w:val="nil"/>
              <w:left w:val="nil"/>
              <w:bottom w:val="single" w:sz="4" w:space="0" w:color="auto"/>
              <w:right w:val="single" w:sz="4" w:space="0" w:color="auto"/>
            </w:tcBorders>
            <w:shd w:val="clear" w:color="000000" w:fill="D9E1F2"/>
            <w:vAlign w:val="center"/>
            <w:hideMark/>
          </w:tcPr>
          <w:p w14:paraId="5C3A7917" w14:textId="77777777" w:rsidR="00231845" w:rsidRPr="00231845" w:rsidRDefault="00231845" w:rsidP="00231845">
            <w:pPr>
              <w:jc w:val="center"/>
              <w:rPr>
                <w:rFonts w:eastAsia="Times New Roman" w:cs="Calibri"/>
                <w:sz w:val="22"/>
              </w:rPr>
            </w:pPr>
            <w:r w:rsidRPr="00231845">
              <w:rPr>
                <w:rFonts w:eastAsia="Times New Roman" w:cs="Calibri"/>
                <w:sz w:val="22"/>
              </w:rPr>
              <w:t> </w:t>
            </w:r>
          </w:p>
        </w:tc>
        <w:tc>
          <w:tcPr>
            <w:tcW w:w="1280" w:type="dxa"/>
            <w:tcBorders>
              <w:top w:val="nil"/>
              <w:left w:val="nil"/>
              <w:bottom w:val="single" w:sz="4" w:space="0" w:color="auto"/>
              <w:right w:val="nil"/>
            </w:tcBorders>
            <w:shd w:val="clear" w:color="auto" w:fill="auto"/>
            <w:vAlign w:val="center"/>
            <w:hideMark/>
          </w:tcPr>
          <w:p w14:paraId="4A445E57"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0 </w:t>
            </w:r>
          </w:p>
        </w:tc>
        <w:tc>
          <w:tcPr>
            <w:tcW w:w="1075" w:type="dxa"/>
            <w:tcBorders>
              <w:top w:val="nil"/>
              <w:left w:val="single" w:sz="4" w:space="0" w:color="auto"/>
              <w:bottom w:val="single" w:sz="4" w:space="0" w:color="auto"/>
              <w:right w:val="single" w:sz="4" w:space="0" w:color="auto"/>
            </w:tcBorders>
            <w:shd w:val="clear" w:color="000000" w:fill="D9E1F2"/>
            <w:vAlign w:val="center"/>
            <w:hideMark/>
          </w:tcPr>
          <w:p w14:paraId="3BE41A87"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w:t>
            </w:r>
          </w:p>
        </w:tc>
        <w:tc>
          <w:tcPr>
            <w:tcW w:w="1280" w:type="dxa"/>
            <w:tcBorders>
              <w:top w:val="nil"/>
              <w:left w:val="nil"/>
              <w:bottom w:val="single" w:sz="4" w:space="0" w:color="auto"/>
              <w:right w:val="single" w:sz="4" w:space="0" w:color="auto"/>
            </w:tcBorders>
            <w:shd w:val="clear" w:color="auto" w:fill="auto"/>
            <w:vAlign w:val="center"/>
            <w:hideMark/>
          </w:tcPr>
          <w:p w14:paraId="38DA8E9A"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0 </w:t>
            </w:r>
          </w:p>
        </w:tc>
        <w:tc>
          <w:tcPr>
            <w:tcW w:w="1095" w:type="dxa"/>
            <w:vMerge/>
            <w:tcBorders>
              <w:top w:val="nil"/>
              <w:left w:val="single" w:sz="4" w:space="0" w:color="auto"/>
              <w:bottom w:val="nil"/>
              <w:right w:val="single" w:sz="4" w:space="0" w:color="auto"/>
            </w:tcBorders>
            <w:vAlign w:val="center"/>
            <w:hideMark/>
          </w:tcPr>
          <w:p w14:paraId="339D7074" w14:textId="77777777" w:rsidR="00231845" w:rsidRPr="00231845" w:rsidRDefault="00231845" w:rsidP="00231845">
            <w:pPr>
              <w:rPr>
                <w:rFonts w:eastAsia="Times New Roman" w:cs="Calibri"/>
                <w:sz w:val="18"/>
                <w:szCs w:val="18"/>
              </w:rPr>
            </w:pPr>
          </w:p>
        </w:tc>
      </w:tr>
      <w:tr w:rsidR="006B283A" w:rsidRPr="00231845" w14:paraId="554A89EC" w14:textId="77777777" w:rsidTr="00231845">
        <w:trPr>
          <w:trHeight w:val="27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43CCB2E6" w14:textId="77777777" w:rsidR="00231845" w:rsidRPr="00231845" w:rsidRDefault="00231845" w:rsidP="00231845">
            <w:pPr>
              <w:rPr>
                <w:rFonts w:eastAsia="Times New Roman" w:cs="Calibri"/>
                <w:color w:val="000000"/>
                <w:sz w:val="16"/>
                <w:szCs w:val="16"/>
              </w:rPr>
            </w:pPr>
            <w:r w:rsidRPr="00231845">
              <w:rPr>
                <w:rFonts w:eastAsia="Times New Roman" w:cs="Calibri"/>
                <w:color w:val="000000"/>
                <w:sz w:val="16"/>
                <w:szCs w:val="16"/>
              </w:rPr>
              <w:t>4. Contractual services</w:t>
            </w:r>
          </w:p>
        </w:tc>
        <w:tc>
          <w:tcPr>
            <w:tcW w:w="1280" w:type="dxa"/>
            <w:tcBorders>
              <w:top w:val="nil"/>
              <w:left w:val="nil"/>
              <w:bottom w:val="single" w:sz="4" w:space="0" w:color="auto"/>
              <w:right w:val="single" w:sz="4" w:space="0" w:color="auto"/>
            </w:tcBorders>
            <w:shd w:val="clear" w:color="auto" w:fill="auto"/>
            <w:vAlign w:val="center"/>
            <w:hideMark/>
          </w:tcPr>
          <w:p w14:paraId="1EF80237"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260,934 </w:t>
            </w:r>
          </w:p>
        </w:tc>
        <w:tc>
          <w:tcPr>
            <w:tcW w:w="1180" w:type="dxa"/>
            <w:tcBorders>
              <w:top w:val="nil"/>
              <w:left w:val="nil"/>
              <w:bottom w:val="single" w:sz="4" w:space="0" w:color="auto"/>
              <w:right w:val="single" w:sz="4" w:space="0" w:color="auto"/>
            </w:tcBorders>
            <w:shd w:val="clear" w:color="000000" w:fill="D9E1F2"/>
            <w:vAlign w:val="center"/>
            <w:hideMark/>
          </w:tcPr>
          <w:p w14:paraId="2B79B799"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190,500</w:t>
            </w:r>
          </w:p>
        </w:tc>
        <w:tc>
          <w:tcPr>
            <w:tcW w:w="1280" w:type="dxa"/>
            <w:tcBorders>
              <w:top w:val="nil"/>
              <w:left w:val="nil"/>
              <w:bottom w:val="single" w:sz="4" w:space="0" w:color="auto"/>
              <w:right w:val="single" w:sz="4" w:space="0" w:color="auto"/>
            </w:tcBorders>
            <w:shd w:val="clear" w:color="auto" w:fill="auto"/>
            <w:vAlign w:val="center"/>
            <w:hideMark/>
          </w:tcPr>
          <w:p w14:paraId="77852439"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248,000 </w:t>
            </w:r>
          </w:p>
        </w:tc>
        <w:tc>
          <w:tcPr>
            <w:tcW w:w="1075" w:type="dxa"/>
            <w:tcBorders>
              <w:top w:val="nil"/>
              <w:left w:val="nil"/>
              <w:bottom w:val="single" w:sz="4" w:space="0" w:color="auto"/>
              <w:right w:val="single" w:sz="4" w:space="0" w:color="auto"/>
            </w:tcBorders>
            <w:shd w:val="clear" w:color="000000" w:fill="D9E1F2"/>
            <w:vAlign w:val="center"/>
            <w:hideMark/>
          </w:tcPr>
          <w:p w14:paraId="49CB8F06"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50,000 </w:t>
            </w:r>
          </w:p>
        </w:tc>
        <w:tc>
          <w:tcPr>
            <w:tcW w:w="1280" w:type="dxa"/>
            <w:tcBorders>
              <w:top w:val="nil"/>
              <w:left w:val="nil"/>
              <w:bottom w:val="single" w:sz="4" w:space="0" w:color="auto"/>
              <w:right w:val="single" w:sz="4" w:space="0" w:color="auto"/>
            </w:tcBorders>
            <w:shd w:val="clear" w:color="auto" w:fill="auto"/>
            <w:vAlign w:val="center"/>
            <w:hideMark/>
          </w:tcPr>
          <w:p w14:paraId="213ABDD0"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143,000 </w:t>
            </w:r>
          </w:p>
        </w:tc>
        <w:tc>
          <w:tcPr>
            <w:tcW w:w="1075" w:type="dxa"/>
            <w:tcBorders>
              <w:top w:val="nil"/>
              <w:left w:val="nil"/>
              <w:bottom w:val="single" w:sz="4" w:space="0" w:color="auto"/>
              <w:right w:val="single" w:sz="4" w:space="0" w:color="auto"/>
            </w:tcBorders>
            <w:shd w:val="clear" w:color="000000" w:fill="D9E1F2"/>
            <w:vAlign w:val="center"/>
            <w:hideMark/>
          </w:tcPr>
          <w:p w14:paraId="659085DD"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5,000 </w:t>
            </w:r>
          </w:p>
        </w:tc>
        <w:tc>
          <w:tcPr>
            <w:tcW w:w="1280" w:type="dxa"/>
            <w:tcBorders>
              <w:top w:val="nil"/>
              <w:left w:val="nil"/>
              <w:bottom w:val="single" w:sz="4" w:space="0" w:color="000000"/>
              <w:right w:val="nil"/>
            </w:tcBorders>
            <w:shd w:val="clear" w:color="auto" w:fill="auto"/>
            <w:vAlign w:val="center"/>
            <w:hideMark/>
          </w:tcPr>
          <w:p w14:paraId="746C5D0D"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77,000 </w:t>
            </w:r>
          </w:p>
        </w:tc>
        <w:tc>
          <w:tcPr>
            <w:tcW w:w="1075" w:type="dxa"/>
            <w:tcBorders>
              <w:top w:val="nil"/>
              <w:left w:val="single" w:sz="4" w:space="0" w:color="auto"/>
              <w:bottom w:val="single" w:sz="4" w:space="0" w:color="auto"/>
              <w:right w:val="single" w:sz="4" w:space="0" w:color="auto"/>
            </w:tcBorders>
            <w:shd w:val="clear" w:color="000000" w:fill="D9E1F2"/>
            <w:vAlign w:val="center"/>
            <w:hideMark/>
          </w:tcPr>
          <w:p w14:paraId="7C3ABFE5"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w:t>
            </w:r>
          </w:p>
        </w:tc>
        <w:tc>
          <w:tcPr>
            <w:tcW w:w="1280" w:type="dxa"/>
            <w:tcBorders>
              <w:top w:val="nil"/>
              <w:left w:val="nil"/>
              <w:bottom w:val="single" w:sz="4" w:space="0" w:color="auto"/>
              <w:right w:val="single" w:sz="4" w:space="0" w:color="auto"/>
            </w:tcBorders>
            <w:shd w:val="clear" w:color="auto" w:fill="auto"/>
            <w:vAlign w:val="center"/>
            <w:hideMark/>
          </w:tcPr>
          <w:p w14:paraId="74E09DEA"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728,934 </w:t>
            </w:r>
          </w:p>
        </w:tc>
        <w:tc>
          <w:tcPr>
            <w:tcW w:w="1095" w:type="dxa"/>
            <w:vMerge/>
            <w:tcBorders>
              <w:top w:val="nil"/>
              <w:left w:val="single" w:sz="4" w:space="0" w:color="auto"/>
              <w:bottom w:val="nil"/>
              <w:right w:val="single" w:sz="4" w:space="0" w:color="auto"/>
            </w:tcBorders>
            <w:vAlign w:val="center"/>
            <w:hideMark/>
          </w:tcPr>
          <w:p w14:paraId="6816FF3C" w14:textId="77777777" w:rsidR="00231845" w:rsidRPr="00231845" w:rsidRDefault="00231845" w:rsidP="00231845">
            <w:pPr>
              <w:rPr>
                <w:rFonts w:eastAsia="Times New Roman" w:cs="Calibri"/>
                <w:sz w:val="18"/>
                <w:szCs w:val="18"/>
              </w:rPr>
            </w:pPr>
          </w:p>
        </w:tc>
      </w:tr>
      <w:tr w:rsidR="006B283A" w:rsidRPr="00231845" w14:paraId="135CD61E" w14:textId="77777777" w:rsidTr="00231845">
        <w:trPr>
          <w:trHeight w:val="27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2799F682" w14:textId="77777777" w:rsidR="00231845" w:rsidRPr="00231845" w:rsidRDefault="00231845" w:rsidP="00231845">
            <w:pPr>
              <w:rPr>
                <w:rFonts w:eastAsia="Times New Roman" w:cs="Calibri"/>
                <w:color w:val="000000"/>
                <w:sz w:val="16"/>
                <w:szCs w:val="16"/>
              </w:rPr>
            </w:pPr>
            <w:r w:rsidRPr="00231845">
              <w:rPr>
                <w:rFonts w:eastAsia="Times New Roman" w:cs="Calibri"/>
                <w:color w:val="000000"/>
                <w:sz w:val="16"/>
                <w:szCs w:val="16"/>
              </w:rPr>
              <w:t xml:space="preserve">5.Travel </w:t>
            </w:r>
          </w:p>
        </w:tc>
        <w:tc>
          <w:tcPr>
            <w:tcW w:w="1280" w:type="dxa"/>
            <w:tcBorders>
              <w:top w:val="nil"/>
              <w:left w:val="nil"/>
              <w:bottom w:val="single" w:sz="4" w:space="0" w:color="auto"/>
              <w:right w:val="single" w:sz="4" w:space="0" w:color="auto"/>
            </w:tcBorders>
            <w:shd w:val="clear" w:color="auto" w:fill="auto"/>
            <w:vAlign w:val="center"/>
            <w:hideMark/>
          </w:tcPr>
          <w:p w14:paraId="58928F8C"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20,500 </w:t>
            </w:r>
          </w:p>
        </w:tc>
        <w:tc>
          <w:tcPr>
            <w:tcW w:w="1180" w:type="dxa"/>
            <w:tcBorders>
              <w:top w:val="nil"/>
              <w:left w:val="nil"/>
              <w:bottom w:val="single" w:sz="4" w:space="0" w:color="auto"/>
              <w:right w:val="single" w:sz="4" w:space="0" w:color="auto"/>
            </w:tcBorders>
            <w:shd w:val="clear" w:color="000000" w:fill="D9E1F2"/>
            <w:vAlign w:val="center"/>
            <w:hideMark/>
          </w:tcPr>
          <w:p w14:paraId="0999E227"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20,500</w:t>
            </w:r>
          </w:p>
        </w:tc>
        <w:tc>
          <w:tcPr>
            <w:tcW w:w="1280" w:type="dxa"/>
            <w:tcBorders>
              <w:top w:val="nil"/>
              <w:left w:val="nil"/>
              <w:bottom w:val="single" w:sz="4" w:space="0" w:color="auto"/>
              <w:right w:val="single" w:sz="4" w:space="0" w:color="auto"/>
            </w:tcBorders>
            <w:shd w:val="clear" w:color="auto" w:fill="auto"/>
            <w:vAlign w:val="center"/>
            <w:hideMark/>
          </w:tcPr>
          <w:p w14:paraId="6F85A20B"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0 </w:t>
            </w:r>
          </w:p>
        </w:tc>
        <w:tc>
          <w:tcPr>
            <w:tcW w:w="1075" w:type="dxa"/>
            <w:tcBorders>
              <w:top w:val="nil"/>
              <w:left w:val="nil"/>
              <w:bottom w:val="single" w:sz="4" w:space="0" w:color="auto"/>
              <w:right w:val="single" w:sz="4" w:space="0" w:color="auto"/>
            </w:tcBorders>
            <w:shd w:val="clear" w:color="000000" w:fill="D9E1F2"/>
            <w:vAlign w:val="center"/>
            <w:hideMark/>
          </w:tcPr>
          <w:p w14:paraId="74A682D1" w14:textId="77777777" w:rsidR="00231845" w:rsidRPr="00231845" w:rsidRDefault="00231845" w:rsidP="00231845">
            <w:pPr>
              <w:jc w:val="center"/>
              <w:rPr>
                <w:rFonts w:eastAsia="Times New Roman" w:cs="Calibri"/>
                <w:sz w:val="22"/>
              </w:rPr>
            </w:pPr>
            <w:r w:rsidRPr="00231845">
              <w:rPr>
                <w:rFonts w:eastAsia="Times New Roman" w:cs="Calibri"/>
                <w:sz w:val="22"/>
              </w:rPr>
              <w:t> </w:t>
            </w:r>
          </w:p>
        </w:tc>
        <w:tc>
          <w:tcPr>
            <w:tcW w:w="1280" w:type="dxa"/>
            <w:tcBorders>
              <w:top w:val="nil"/>
              <w:left w:val="nil"/>
              <w:bottom w:val="single" w:sz="4" w:space="0" w:color="auto"/>
              <w:right w:val="single" w:sz="4" w:space="0" w:color="auto"/>
            </w:tcBorders>
            <w:shd w:val="clear" w:color="auto" w:fill="auto"/>
            <w:vAlign w:val="center"/>
            <w:hideMark/>
          </w:tcPr>
          <w:p w14:paraId="32F591D3"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43,700 </w:t>
            </w:r>
          </w:p>
        </w:tc>
        <w:tc>
          <w:tcPr>
            <w:tcW w:w="1075" w:type="dxa"/>
            <w:tcBorders>
              <w:top w:val="nil"/>
              <w:left w:val="nil"/>
              <w:bottom w:val="single" w:sz="4" w:space="0" w:color="auto"/>
              <w:right w:val="single" w:sz="4" w:space="0" w:color="auto"/>
            </w:tcBorders>
            <w:shd w:val="clear" w:color="000000" w:fill="D9E1F2"/>
            <w:vAlign w:val="center"/>
            <w:hideMark/>
          </w:tcPr>
          <w:p w14:paraId="11E815E9"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5,000 </w:t>
            </w:r>
          </w:p>
        </w:tc>
        <w:tc>
          <w:tcPr>
            <w:tcW w:w="1280" w:type="dxa"/>
            <w:tcBorders>
              <w:top w:val="nil"/>
              <w:left w:val="nil"/>
              <w:bottom w:val="single" w:sz="4" w:space="0" w:color="000000"/>
              <w:right w:val="nil"/>
            </w:tcBorders>
            <w:shd w:val="clear" w:color="auto" w:fill="auto"/>
            <w:vAlign w:val="center"/>
            <w:hideMark/>
          </w:tcPr>
          <w:p w14:paraId="0F9D3F59"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29,500 </w:t>
            </w:r>
          </w:p>
        </w:tc>
        <w:tc>
          <w:tcPr>
            <w:tcW w:w="1075" w:type="dxa"/>
            <w:tcBorders>
              <w:top w:val="nil"/>
              <w:left w:val="single" w:sz="4" w:space="0" w:color="auto"/>
              <w:bottom w:val="single" w:sz="4" w:space="0" w:color="auto"/>
              <w:right w:val="single" w:sz="4" w:space="0" w:color="auto"/>
            </w:tcBorders>
            <w:shd w:val="clear" w:color="000000" w:fill="D9E1F2"/>
            <w:vAlign w:val="center"/>
            <w:hideMark/>
          </w:tcPr>
          <w:p w14:paraId="1E93F98C"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w:t>
            </w:r>
          </w:p>
        </w:tc>
        <w:tc>
          <w:tcPr>
            <w:tcW w:w="1280" w:type="dxa"/>
            <w:tcBorders>
              <w:top w:val="nil"/>
              <w:left w:val="nil"/>
              <w:bottom w:val="single" w:sz="4" w:space="0" w:color="auto"/>
              <w:right w:val="single" w:sz="4" w:space="0" w:color="auto"/>
            </w:tcBorders>
            <w:shd w:val="clear" w:color="auto" w:fill="auto"/>
            <w:vAlign w:val="center"/>
            <w:hideMark/>
          </w:tcPr>
          <w:p w14:paraId="2DD93CE3"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93,700 </w:t>
            </w:r>
          </w:p>
        </w:tc>
        <w:tc>
          <w:tcPr>
            <w:tcW w:w="1095" w:type="dxa"/>
            <w:vMerge/>
            <w:tcBorders>
              <w:top w:val="nil"/>
              <w:left w:val="single" w:sz="4" w:space="0" w:color="auto"/>
              <w:bottom w:val="nil"/>
              <w:right w:val="single" w:sz="4" w:space="0" w:color="auto"/>
            </w:tcBorders>
            <w:vAlign w:val="center"/>
            <w:hideMark/>
          </w:tcPr>
          <w:p w14:paraId="02019FD1" w14:textId="77777777" w:rsidR="00231845" w:rsidRPr="00231845" w:rsidRDefault="00231845" w:rsidP="00231845">
            <w:pPr>
              <w:rPr>
                <w:rFonts w:eastAsia="Times New Roman" w:cs="Calibri"/>
                <w:sz w:val="18"/>
                <w:szCs w:val="18"/>
              </w:rPr>
            </w:pPr>
          </w:p>
        </w:tc>
      </w:tr>
      <w:tr w:rsidR="006B283A" w:rsidRPr="00231845" w14:paraId="55422D07" w14:textId="77777777" w:rsidTr="00231845">
        <w:trPr>
          <w:trHeight w:val="270"/>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6B8EF16C" w14:textId="77777777" w:rsidR="00231845" w:rsidRPr="00231845" w:rsidRDefault="00231845" w:rsidP="00231845">
            <w:pPr>
              <w:rPr>
                <w:rFonts w:eastAsia="Times New Roman" w:cs="Calibri"/>
                <w:color w:val="000000"/>
                <w:sz w:val="16"/>
                <w:szCs w:val="16"/>
              </w:rPr>
            </w:pPr>
            <w:r w:rsidRPr="00231845">
              <w:rPr>
                <w:rFonts w:eastAsia="Times New Roman" w:cs="Calibri"/>
                <w:color w:val="000000"/>
                <w:sz w:val="16"/>
                <w:szCs w:val="16"/>
              </w:rPr>
              <w:t xml:space="preserve">6. Transfers and Grants to Counterparts </w:t>
            </w:r>
          </w:p>
        </w:tc>
        <w:tc>
          <w:tcPr>
            <w:tcW w:w="1280" w:type="dxa"/>
            <w:tcBorders>
              <w:top w:val="nil"/>
              <w:left w:val="nil"/>
              <w:bottom w:val="single" w:sz="4" w:space="0" w:color="auto"/>
              <w:right w:val="single" w:sz="4" w:space="0" w:color="auto"/>
            </w:tcBorders>
            <w:shd w:val="clear" w:color="auto" w:fill="auto"/>
            <w:vAlign w:val="center"/>
            <w:hideMark/>
          </w:tcPr>
          <w:p w14:paraId="65D0B9BD"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0 </w:t>
            </w:r>
          </w:p>
        </w:tc>
        <w:tc>
          <w:tcPr>
            <w:tcW w:w="1180" w:type="dxa"/>
            <w:tcBorders>
              <w:top w:val="nil"/>
              <w:left w:val="nil"/>
              <w:bottom w:val="single" w:sz="4" w:space="0" w:color="auto"/>
              <w:right w:val="single" w:sz="4" w:space="0" w:color="auto"/>
            </w:tcBorders>
            <w:shd w:val="clear" w:color="000000" w:fill="D9E1F2"/>
            <w:vAlign w:val="center"/>
            <w:hideMark/>
          </w:tcPr>
          <w:p w14:paraId="13726B18"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55,355</w:t>
            </w:r>
          </w:p>
        </w:tc>
        <w:tc>
          <w:tcPr>
            <w:tcW w:w="1280" w:type="dxa"/>
            <w:tcBorders>
              <w:top w:val="nil"/>
              <w:left w:val="nil"/>
              <w:bottom w:val="single" w:sz="4" w:space="0" w:color="auto"/>
              <w:right w:val="single" w:sz="4" w:space="0" w:color="auto"/>
            </w:tcBorders>
            <w:shd w:val="clear" w:color="auto" w:fill="auto"/>
            <w:vAlign w:val="center"/>
            <w:hideMark/>
          </w:tcPr>
          <w:p w14:paraId="27832C9F"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0 </w:t>
            </w:r>
          </w:p>
        </w:tc>
        <w:tc>
          <w:tcPr>
            <w:tcW w:w="1075" w:type="dxa"/>
            <w:tcBorders>
              <w:top w:val="nil"/>
              <w:left w:val="nil"/>
              <w:bottom w:val="single" w:sz="4" w:space="0" w:color="auto"/>
              <w:right w:val="single" w:sz="4" w:space="0" w:color="auto"/>
            </w:tcBorders>
            <w:shd w:val="clear" w:color="000000" w:fill="D9E1F2"/>
            <w:vAlign w:val="center"/>
            <w:hideMark/>
          </w:tcPr>
          <w:p w14:paraId="6E538C60" w14:textId="77777777" w:rsidR="00231845" w:rsidRPr="00231845" w:rsidRDefault="00231845" w:rsidP="00231845">
            <w:pPr>
              <w:jc w:val="center"/>
              <w:rPr>
                <w:rFonts w:eastAsia="Times New Roman" w:cs="Calibri"/>
                <w:sz w:val="22"/>
              </w:rPr>
            </w:pPr>
            <w:r w:rsidRPr="00231845">
              <w:rPr>
                <w:rFonts w:eastAsia="Times New Roman" w:cs="Calibri"/>
                <w:sz w:val="22"/>
              </w:rPr>
              <w:t> </w:t>
            </w:r>
          </w:p>
        </w:tc>
        <w:tc>
          <w:tcPr>
            <w:tcW w:w="1280" w:type="dxa"/>
            <w:tcBorders>
              <w:top w:val="nil"/>
              <w:left w:val="nil"/>
              <w:bottom w:val="single" w:sz="4" w:space="0" w:color="auto"/>
              <w:right w:val="single" w:sz="4" w:space="0" w:color="auto"/>
            </w:tcBorders>
            <w:shd w:val="clear" w:color="auto" w:fill="auto"/>
            <w:vAlign w:val="center"/>
            <w:hideMark/>
          </w:tcPr>
          <w:p w14:paraId="163D3D0F"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0 </w:t>
            </w:r>
          </w:p>
        </w:tc>
        <w:tc>
          <w:tcPr>
            <w:tcW w:w="1075" w:type="dxa"/>
            <w:tcBorders>
              <w:top w:val="nil"/>
              <w:left w:val="nil"/>
              <w:bottom w:val="single" w:sz="4" w:space="0" w:color="auto"/>
              <w:right w:val="single" w:sz="4" w:space="0" w:color="auto"/>
            </w:tcBorders>
            <w:shd w:val="clear" w:color="000000" w:fill="D9E1F2"/>
            <w:vAlign w:val="center"/>
            <w:hideMark/>
          </w:tcPr>
          <w:p w14:paraId="465C176E" w14:textId="77777777" w:rsidR="00231845" w:rsidRPr="00231845" w:rsidRDefault="00231845" w:rsidP="00231845">
            <w:pPr>
              <w:jc w:val="center"/>
              <w:rPr>
                <w:rFonts w:eastAsia="Times New Roman" w:cs="Calibri"/>
                <w:sz w:val="22"/>
              </w:rPr>
            </w:pPr>
            <w:r w:rsidRPr="00231845">
              <w:rPr>
                <w:rFonts w:eastAsia="Times New Roman" w:cs="Calibri"/>
                <w:sz w:val="22"/>
              </w:rPr>
              <w:t> </w:t>
            </w:r>
          </w:p>
        </w:tc>
        <w:tc>
          <w:tcPr>
            <w:tcW w:w="1280" w:type="dxa"/>
            <w:tcBorders>
              <w:top w:val="nil"/>
              <w:left w:val="nil"/>
              <w:bottom w:val="single" w:sz="4" w:space="0" w:color="000000"/>
              <w:right w:val="nil"/>
            </w:tcBorders>
            <w:shd w:val="clear" w:color="auto" w:fill="auto"/>
            <w:vAlign w:val="center"/>
            <w:hideMark/>
          </w:tcPr>
          <w:p w14:paraId="55FBAC87"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0 </w:t>
            </w:r>
          </w:p>
        </w:tc>
        <w:tc>
          <w:tcPr>
            <w:tcW w:w="1075" w:type="dxa"/>
            <w:tcBorders>
              <w:top w:val="nil"/>
              <w:left w:val="single" w:sz="4" w:space="0" w:color="auto"/>
              <w:bottom w:val="single" w:sz="4" w:space="0" w:color="auto"/>
              <w:right w:val="single" w:sz="4" w:space="0" w:color="auto"/>
            </w:tcBorders>
            <w:shd w:val="clear" w:color="000000" w:fill="D9E1F2"/>
            <w:vAlign w:val="center"/>
            <w:hideMark/>
          </w:tcPr>
          <w:p w14:paraId="3316A184"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w:t>
            </w:r>
          </w:p>
        </w:tc>
        <w:tc>
          <w:tcPr>
            <w:tcW w:w="1280" w:type="dxa"/>
            <w:tcBorders>
              <w:top w:val="nil"/>
              <w:left w:val="nil"/>
              <w:bottom w:val="single" w:sz="4" w:space="0" w:color="auto"/>
              <w:right w:val="single" w:sz="4" w:space="0" w:color="auto"/>
            </w:tcBorders>
            <w:shd w:val="clear" w:color="auto" w:fill="auto"/>
            <w:vAlign w:val="center"/>
            <w:hideMark/>
          </w:tcPr>
          <w:p w14:paraId="063F2311"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0 </w:t>
            </w:r>
          </w:p>
        </w:tc>
        <w:tc>
          <w:tcPr>
            <w:tcW w:w="1095" w:type="dxa"/>
            <w:vMerge/>
            <w:tcBorders>
              <w:top w:val="nil"/>
              <w:left w:val="single" w:sz="4" w:space="0" w:color="auto"/>
              <w:bottom w:val="nil"/>
              <w:right w:val="single" w:sz="4" w:space="0" w:color="auto"/>
            </w:tcBorders>
            <w:vAlign w:val="center"/>
            <w:hideMark/>
          </w:tcPr>
          <w:p w14:paraId="3F30FC0C" w14:textId="77777777" w:rsidR="00231845" w:rsidRPr="00231845" w:rsidRDefault="00231845" w:rsidP="00231845">
            <w:pPr>
              <w:rPr>
                <w:rFonts w:eastAsia="Times New Roman" w:cs="Calibri"/>
                <w:sz w:val="18"/>
                <w:szCs w:val="18"/>
              </w:rPr>
            </w:pPr>
          </w:p>
        </w:tc>
      </w:tr>
      <w:tr w:rsidR="006B283A" w:rsidRPr="00231845" w14:paraId="61CE57A6" w14:textId="77777777" w:rsidTr="00231845">
        <w:trPr>
          <w:trHeight w:val="451"/>
        </w:trPr>
        <w:tc>
          <w:tcPr>
            <w:tcW w:w="1420" w:type="dxa"/>
            <w:tcBorders>
              <w:top w:val="nil"/>
              <w:left w:val="single" w:sz="4" w:space="0" w:color="auto"/>
              <w:bottom w:val="nil"/>
              <w:right w:val="single" w:sz="4" w:space="0" w:color="auto"/>
            </w:tcBorders>
            <w:shd w:val="clear" w:color="auto" w:fill="auto"/>
            <w:vAlign w:val="center"/>
            <w:hideMark/>
          </w:tcPr>
          <w:p w14:paraId="66C6491F" w14:textId="77777777" w:rsidR="00231845" w:rsidRPr="00231845" w:rsidRDefault="00231845" w:rsidP="00231845">
            <w:pPr>
              <w:rPr>
                <w:rFonts w:eastAsia="Times New Roman" w:cs="Calibri"/>
                <w:color w:val="000000"/>
                <w:sz w:val="16"/>
                <w:szCs w:val="16"/>
              </w:rPr>
            </w:pPr>
            <w:r w:rsidRPr="00231845">
              <w:rPr>
                <w:rFonts w:eastAsia="Times New Roman" w:cs="Calibri"/>
                <w:color w:val="000000"/>
                <w:sz w:val="16"/>
                <w:szCs w:val="16"/>
              </w:rPr>
              <w:t xml:space="preserve">7. General Operating and other Direct Costs </w:t>
            </w:r>
          </w:p>
        </w:tc>
        <w:tc>
          <w:tcPr>
            <w:tcW w:w="1280" w:type="dxa"/>
            <w:tcBorders>
              <w:top w:val="nil"/>
              <w:left w:val="nil"/>
              <w:bottom w:val="single" w:sz="4" w:space="0" w:color="auto"/>
              <w:right w:val="single" w:sz="4" w:space="0" w:color="auto"/>
            </w:tcBorders>
            <w:shd w:val="clear" w:color="auto" w:fill="auto"/>
            <w:vAlign w:val="center"/>
            <w:hideMark/>
          </w:tcPr>
          <w:p w14:paraId="5FF01376"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5,000 </w:t>
            </w:r>
          </w:p>
        </w:tc>
        <w:tc>
          <w:tcPr>
            <w:tcW w:w="1180" w:type="dxa"/>
            <w:tcBorders>
              <w:top w:val="nil"/>
              <w:left w:val="nil"/>
              <w:bottom w:val="single" w:sz="4" w:space="0" w:color="auto"/>
              <w:right w:val="single" w:sz="4" w:space="0" w:color="auto"/>
            </w:tcBorders>
            <w:shd w:val="clear" w:color="000000" w:fill="D9E1F2"/>
            <w:vAlign w:val="center"/>
            <w:hideMark/>
          </w:tcPr>
          <w:p w14:paraId="1827709C" w14:textId="77777777" w:rsidR="00231845" w:rsidRPr="00231845" w:rsidRDefault="00231845" w:rsidP="00231845">
            <w:pPr>
              <w:jc w:val="center"/>
              <w:rPr>
                <w:rFonts w:eastAsia="Times New Roman" w:cs="Calibri"/>
                <w:sz w:val="22"/>
              </w:rPr>
            </w:pPr>
            <w:r w:rsidRPr="00231845">
              <w:rPr>
                <w:rFonts w:eastAsia="Times New Roman" w:cs="Calibri"/>
                <w:sz w:val="22"/>
              </w:rPr>
              <w:t> </w:t>
            </w:r>
          </w:p>
        </w:tc>
        <w:tc>
          <w:tcPr>
            <w:tcW w:w="1280" w:type="dxa"/>
            <w:tcBorders>
              <w:top w:val="nil"/>
              <w:left w:val="nil"/>
              <w:bottom w:val="single" w:sz="4" w:space="0" w:color="auto"/>
              <w:right w:val="single" w:sz="4" w:space="0" w:color="auto"/>
            </w:tcBorders>
            <w:shd w:val="clear" w:color="auto" w:fill="auto"/>
            <w:vAlign w:val="center"/>
            <w:hideMark/>
          </w:tcPr>
          <w:p w14:paraId="3C17C2E0"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0 </w:t>
            </w:r>
          </w:p>
        </w:tc>
        <w:tc>
          <w:tcPr>
            <w:tcW w:w="1075" w:type="dxa"/>
            <w:tcBorders>
              <w:top w:val="nil"/>
              <w:left w:val="nil"/>
              <w:bottom w:val="single" w:sz="4" w:space="0" w:color="auto"/>
              <w:right w:val="single" w:sz="4" w:space="0" w:color="auto"/>
            </w:tcBorders>
            <w:shd w:val="clear" w:color="000000" w:fill="D9E1F2"/>
            <w:vAlign w:val="center"/>
            <w:hideMark/>
          </w:tcPr>
          <w:p w14:paraId="769BD9AC" w14:textId="77777777" w:rsidR="00231845" w:rsidRPr="00231845" w:rsidRDefault="00231845" w:rsidP="00231845">
            <w:pPr>
              <w:jc w:val="center"/>
              <w:rPr>
                <w:rFonts w:eastAsia="Times New Roman" w:cs="Calibri"/>
                <w:sz w:val="22"/>
              </w:rPr>
            </w:pPr>
            <w:r w:rsidRPr="00231845">
              <w:rPr>
                <w:rFonts w:eastAsia="Times New Roman" w:cs="Calibri"/>
                <w:sz w:val="22"/>
              </w:rPr>
              <w:t> </w:t>
            </w:r>
          </w:p>
        </w:tc>
        <w:tc>
          <w:tcPr>
            <w:tcW w:w="1280" w:type="dxa"/>
            <w:tcBorders>
              <w:top w:val="nil"/>
              <w:left w:val="nil"/>
              <w:bottom w:val="single" w:sz="4" w:space="0" w:color="auto"/>
              <w:right w:val="single" w:sz="4" w:space="0" w:color="auto"/>
            </w:tcBorders>
            <w:shd w:val="clear" w:color="auto" w:fill="auto"/>
            <w:vAlign w:val="center"/>
            <w:hideMark/>
          </w:tcPr>
          <w:p w14:paraId="53FA9491"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0 </w:t>
            </w:r>
          </w:p>
        </w:tc>
        <w:tc>
          <w:tcPr>
            <w:tcW w:w="1075" w:type="dxa"/>
            <w:tcBorders>
              <w:top w:val="nil"/>
              <w:left w:val="nil"/>
              <w:bottom w:val="nil"/>
              <w:right w:val="single" w:sz="4" w:space="0" w:color="auto"/>
            </w:tcBorders>
            <w:shd w:val="clear" w:color="000000" w:fill="D9E1F2"/>
            <w:vAlign w:val="center"/>
            <w:hideMark/>
          </w:tcPr>
          <w:p w14:paraId="4F226CE5" w14:textId="77777777" w:rsidR="00231845" w:rsidRPr="00231845" w:rsidRDefault="00231845" w:rsidP="00231845">
            <w:pPr>
              <w:jc w:val="center"/>
              <w:rPr>
                <w:rFonts w:eastAsia="Times New Roman" w:cs="Calibri"/>
                <w:sz w:val="22"/>
              </w:rPr>
            </w:pPr>
            <w:r w:rsidRPr="00231845">
              <w:rPr>
                <w:rFonts w:eastAsia="Times New Roman" w:cs="Calibri"/>
                <w:sz w:val="22"/>
              </w:rPr>
              <w:t> </w:t>
            </w:r>
          </w:p>
        </w:tc>
        <w:tc>
          <w:tcPr>
            <w:tcW w:w="1280" w:type="dxa"/>
            <w:tcBorders>
              <w:top w:val="nil"/>
              <w:left w:val="nil"/>
              <w:bottom w:val="single" w:sz="4" w:space="0" w:color="000000"/>
              <w:right w:val="nil"/>
            </w:tcBorders>
            <w:shd w:val="clear" w:color="auto" w:fill="auto"/>
            <w:vAlign w:val="center"/>
            <w:hideMark/>
          </w:tcPr>
          <w:p w14:paraId="76B86E72"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5,500 </w:t>
            </w:r>
          </w:p>
        </w:tc>
        <w:tc>
          <w:tcPr>
            <w:tcW w:w="1075" w:type="dxa"/>
            <w:tcBorders>
              <w:top w:val="nil"/>
              <w:left w:val="single" w:sz="4" w:space="0" w:color="auto"/>
              <w:bottom w:val="single" w:sz="4" w:space="0" w:color="auto"/>
              <w:right w:val="single" w:sz="4" w:space="0" w:color="auto"/>
            </w:tcBorders>
            <w:shd w:val="clear" w:color="000000" w:fill="D9E1F2"/>
            <w:vAlign w:val="center"/>
            <w:hideMark/>
          </w:tcPr>
          <w:p w14:paraId="1C7202C7"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w:t>
            </w:r>
          </w:p>
        </w:tc>
        <w:tc>
          <w:tcPr>
            <w:tcW w:w="1280" w:type="dxa"/>
            <w:tcBorders>
              <w:top w:val="nil"/>
              <w:left w:val="nil"/>
              <w:bottom w:val="single" w:sz="4" w:space="0" w:color="auto"/>
              <w:right w:val="single" w:sz="4" w:space="0" w:color="auto"/>
            </w:tcBorders>
            <w:shd w:val="clear" w:color="auto" w:fill="auto"/>
            <w:vAlign w:val="center"/>
            <w:hideMark/>
          </w:tcPr>
          <w:p w14:paraId="5CE14D67"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xml:space="preserve">10,500 </w:t>
            </w:r>
          </w:p>
        </w:tc>
        <w:tc>
          <w:tcPr>
            <w:tcW w:w="1095" w:type="dxa"/>
            <w:vMerge/>
            <w:tcBorders>
              <w:top w:val="nil"/>
              <w:left w:val="single" w:sz="4" w:space="0" w:color="auto"/>
              <w:bottom w:val="nil"/>
              <w:right w:val="single" w:sz="4" w:space="0" w:color="auto"/>
            </w:tcBorders>
            <w:vAlign w:val="center"/>
            <w:hideMark/>
          </w:tcPr>
          <w:p w14:paraId="4A6362B3" w14:textId="77777777" w:rsidR="00231845" w:rsidRPr="00231845" w:rsidRDefault="00231845" w:rsidP="00231845">
            <w:pPr>
              <w:rPr>
                <w:rFonts w:eastAsia="Times New Roman" w:cs="Calibri"/>
                <w:sz w:val="18"/>
                <w:szCs w:val="18"/>
              </w:rPr>
            </w:pPr>
          </w:p>
        </w:tc>
      </w:tr>
      <w:tr w:rsidR="006B283A" w:rsidRPr="00231845" w14:paraId="7C4A80CB" w14:textId="77777777" w:rsidTr="00231845">
        <w:trPr>
          <w:trHeight w:val="281"/>
        </w:trPr>
        <w:tc>
          <w:tcPr>
            <w:tcW w:w="142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4405675A" w14:textId="77777777" w:rsidR="00231845" w:rsidRPr="00231845" w:rsidRDefault="00231845" w:rsidP="00231845">
            <w:pPr>
              <w:rPr>
                <w:rFonts w:eastAsia="Times New Roman" w:cs="Calibri"/>
                <w:b/>
                <w:bCs/>
                <w:color w:val="000000"/>
                <w:szCs w:val="20"/>
              </w:rPr>
            </w:pPr>
            <w:r w:rsidRPr="00231845">
              <w:rPr>
                <w:rFonts w:eastAsia="Times New Roman" w:cs="Calibri"/>
                <w:b/>
                <w:bCs/>
                <w:color w:val="000000"/>
                <w:szCs w:val="20"/>
              </w:rPr>
              <w:t>Total Direct Costs</w:t>
            </w:r>
          </w:p>
        </w:tc>
        <w:tc>
          <w:tcPr>
            <w:tcW w:w="1280" w:type="dxa"/>
            <w:tcBorders>
              <w:top w:val="nil"/>
              <w:left w:val="nil"/>
              <w:bottom w:val="single" w:sz="4" w:space="0" w:color="auto"/>
              <w:right w:val="single" w:sz="4" w:space="0" w:color="auto"/>
            </w:tcBorders>
            <w:shd w:val="clear" w:color="000000" w:fill="BDD7EE"/>
            <w:vAlign w:val="center"/>
            <w:hideMark/>
          </w:tcPr>
          <w:p w14:paraId="1E5ABEB0" w14:textId="77777777" w:rsidR="00231845" w:rsidRPr="00231845" w:rsidRDefault="00231845" w:rsidP="00231845">
            <w:pPr>
              <w:jc w:val="center"/>
              <w:rPr>
                <w:rFonts w:eastAsia="Times New Roman" w:cs="Calibri"/>
                <w:b/>
                <w:bCs/>
                <w:szCs w:val="20"/>
              </w:rPr>
            </w:pPr>
            <w:r w:rsidRPr="00231845">
              <w:rPr>
                <w:rFonts w:eastAsia="Times New Roman" w:cs="Calibri"/>
                <w:b/>
                <w:bCs/>
                <w:szCs w:val="20"/>
              </w:rPr>
              <w:t xml:space="preserve">       322,986 </w:t>
            </w:r>
          </w:p>
        </w:tc>
        <w:tc>
          <w:tcPr>
            <w:tcW w:w="1180" w:type="dxa"/>
            <w:tcBorders>
              <w:top w:val="nil"/>
              <w:left w:val="nil"/>
              <w:bottom w:val="nil"/>
              <w:right w:val="single" w:sz="4" w:space="0" w:color="auto"/>
            </w:tcBorders>
            <w:shd w:val="clear" w:color="000000" w:fill="D9E1F2"/>
            <w:vAlign w:val="center"/>
            <w:hideMark/>
          </w:tcPr>
          <w:p w14:paraId="1A523B5C" w14:textId="77777777" w:rsidR="00231845" w:rsidRPr="00231845" w:rsidRDefault="00231845" w:rsidP="00231845">
            <w:pPr>
              <w:jc w:val="center"/>
              <w:rPr>
                <w:rFonts w:eastAsia="Times New Roman" w:cs="Calibri"/>
                <w:sz w:val="22"/>
              </w:rPr>
            </w:pPr>
            <w:r w:rsidRPr="00231845">
              <w:rPr>
                <w:rFonts w:eastAsia="Times New Roman" w:cs="Calibri"/>
                <w:sz w:val="22"/>
              </w:rPr>
              <w:t> </w:t>
            </w:r>
          </w:p>
        </w:tc>
        <w:tc>
          <w:tcPr>
            <w:tcW w:w="1280" w:type="dxa"/>
            <w:tcBorders>
              <w:top w:val="nil"/>
              <w:left w:val="nil"/>
              <w:bottom w:val="single" w:sz="4" w:space="0" w:color="auto"/>
              <w:right w:val="single" w:sz="4" w:space="0" w:color="auto"/>
            </w:tcBorders>
            <w:shd w:val="clear" w:color="000000" w:fill="BDD7EE"/>
            <w:vAlign w:val="center"/>
            <w:hideMark/>
          </w:tcPr>
          <w:p w14:paraId="5FBBEE98" w14:textId="77777777" w:rsidR="00231845" w:rsidRPr="00231845" w:rsidRDefault="00231845" w:rsidP="00231845">
            <w:pPr>
              <w:jc w:val="center"/>
              <w:rPr>
                <w:rFonts w:eastAsia="Times New Roman" w:cs="Calibri"/>
                <w:b/>
                <w:bCs/>
                <w:szCs w:val="20"/>
              </w:rPr>
            </w:pPr>
            <w:r w:rsidRPr="00231845">
              <w:rPr>
                <w:rFonts w:eastAsia="Times New Roman" w:cs="Calibri"/>
                <w:b/>
                <w:bCs/>
                <w:szCs w:val="20"/>
              </w:rPr>
              <w:t xml:space="preserve">       248,000 </w:t>
            </w:r>
          </w:p>
        </w:tc>
        <w:tc>
          <w:tcPr>
            <w:tcW w:w="1075" w:type="dxa"/>
            <w:tcBorders>
              <w:top w:val="nil"/>
              <w:left w:val="nil"/>
              <w:bottom w:val="nil"/>
              <w:right w:val="single" w:sz="4" w:space="0" w:color="auto"/>
            </w:tcBorders>
            <w:shd w:val="clear" w:color="000000" w:fill="D9E1F2"/>
            <w:vAlign w:val="center"/>
            <w:hideMark/>
          </w:tcPr>
          <w:p w14:paraId="47BD2392" w14:textId="77777777" w:rsidR="00231845" w:rsidRPr="00231845" w:rsidRDefault="00231845" w:rsidP="00231845">
            <w:pPr>
              <w:jc w:val="center"/>
              <w:rPr>
                <w:rFonts w:eastAsia="Times New Roman" w:cs="Calibri"/>
                <w:sz w:val="22"/>
              </w:rPr>
            </w:pPr>
            <w:r w:rsidRPr="00231845">
              <w:rPr>
                <w:rFonts w:eastAsia="Times New Roman" w:cs="Calibri"/>
                <w:sz w:val="22"/>
              </w:rPr>
              <w:t> </w:t>
            </w:r>
          </w:p>
        </w:tc>
        <w:tc>
          <w:tcPr>
            <w:tcW w:w="1280" w:type="dxa"/>
            <w:tcBorders>
              <w:top w:val="nil"/>
              <w:left w:val="nil"/>
              <w:bottom w:val="single" w:sz="4" w:space="0" w:color="auto"/>
              <w:right w:val="single" w:sz="4" w:space="0" w:color="auto"/>
            </w:tcBorders>
            <w:shd w:val="clear" w:color="000000" w:fill="BDD7EE"/>
            <w:vAlign w:val="center"/>
            <w:hideMark/>
          </w:tcPr>
          <w:p w14:paraId="3E0A7686" w14:textId="77777777" w:rsidR="00231845" w:rsidRPr="00231845" w:rsidRDefault="00231845" w:rsidP="00231845">
            <w:pPr>
              <w:jc w:val="center"/>
              <w:rPr>
                <w:rFonts w:eastAsia="Times New Roman" w:cs="Calibri"/>
                <w:b/>
                <w:bCs/>
                <w:szCs w:val="20"/>
              </w:rPr>
            </w:pPr>
            <w:r w:rsidRPr="00231845">
              <w:rPr>
                <w:rFonts w:eastAsia="Times New Roman" w:cs="Calibri"/>
                <w:b/>
                <w:bCs/>
                <w:szCs w:val="20"/>
              </w:rPr>
              <w:t xml:space="preserve">       187,700 </w:t>
            </w:r>
          </w:p>
        </w:tc>
        <w:tc>
          <w:tcPr>
            <w:tcW w:w="1075" w:type="dxa"/>
            <w:tcBorders>
              <w:top w:val="nil"/>
              <w:left w:val="nil"/>
              <w:bottom w:val="nil"/>
              <w:right w:val="nil"/>
            </w:tcBorders>
            <w:shd w:val="clear" w:color="000000" w:fill="D9E1F2"/>
            <w:vAlign w:val="center"/>
            <w:hideMark/>
          </w:tcPr>
          <w:p w14:paraId="3271CE65"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w:t>
            </w:r>
          </w:p>
        </w:tc>
        <w:tc>
          <w:tcPr>
            <w:tcW w:w="1280" w:type="dxa"/>
            <w:tcBorders>
              <w:top w:val="nil"/>
              <w:left w:val="single" w:sz="4" w:space="0" w:color="auto"/>
              <w:bottom w:val="single" w:sz="4" w:space="0" w:color="auto"/>
              <w:right w:val="single" w:sz="4" w:space="0" w:color="auto"/>
            </w:tcBorders>
            <w:shd w:val="clear" w:color="000000" w:fill="BDD7EE"/>
            <w:vAlign w:val="center"/>
            <w:hideMark/>
          </w:tcPr>
          <w:p w14:paraId="5307B8C1" w14:textId="77777777" w:rsidR="00231845" w:rsidRPr="00231845" w:rsidRDefault="00231845" w:rsidP="00231845">
            <w:pPr>
              <w:jc w:val="center"/>
              <w:rPr>
                <w:rFonts w:eastAsia="Times New Roman" w:cs="Calibri"/>
                <w:b/>
                <w:bCs/>
                <w:szCs w:val="20"/>
              </w:rPr>
            </w:pPr>
            <w:r w:rsidRPr="00231845">
              <w:rPr>
                <w:rFonts w:eastAsia="Times New Roman" w:cs="Calibri"/>
                <w:b/>
                <w:bCs/>
                <w:szCs w:val="20"/>
              </w:rPr>
              <w:t xml:space="preserve">       112,000 </w:t>
            </w:r>
          </w:p>
        </w:tc>
        <w:tc>
          <w:tcPr>
            <w:tcW w:w="1075" w:type="dxa"/>
            <w:tcBorders>
              <w:top w:val="nil"/>
              <w:left w:val="nil"/>
              <w:bottom w:val="nil"/>
              <w:right w:val="single" w:sz="4" w:space="0" w:color="auto"/>
            </w:tcBorders>
            <w:shd w:val="clear" w:color="000000" w:fill="D9E1F2"/>
            <w:vAlign w:val="center"/>
            <w:hideMark/>
          </w:tcPr>
          <w:p w14:paraId="6A47A990"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w:t>
            </w:r>
          </w:p>
        </w:tc>
        <w:tc>
          <w:tcPr>
            <w:tcW w:w="1280" w:type="dxa"/>
            <w:tcBorders>
              <w:top w:val="nil"/>
              <w:left w:val="nil"/>
              <w:bottom w:val="single" w:sz="4" w:space="0" w:color="auto"/>
              <w:right w:val="single" w:sz="4" w:space="0" w:color="auto"/>
            </w:tcBorders>
            <w:shd w:val="clear" w:color="000000" w:fill="BDD7EE"/>
            <w:vAlign w:val="center"/>
            <w:hideMark/>
          </w:tcPr>
          <w:p w14:paraId="5A40F744" w14:textId="77777777" w:rsidR="00231845" w:rsidRPr="00231845" w:rsidRDefault="00231845" w:rsidP="00231845">
            <w:pPr>
              <w:jc w:val="center"/>
              <w:rPr>
                <w:rFonts w:eastAsia="Times New Roman" w:cs="Calibri"/>
                <w:b/>
                <w:bCs/>
                <w:szCs w:val="20"/>
              </w:rPr>
            </w:pPr>
            <w:r w:rsidRPr="00231845">
              <w:rPr>
                <w:rFonts w:eastAsia="Times New Roman" w:cs="Calibri"/>
                <w:b/>
                <w:bCs/>
                <w:szCs w:val="20"/>
              </w:rPr>
              <w:t xml:space="preserve">       870,686 </w:t>
            </w:r>
          </w:p>
        </w:tc>
        <w:tc>
          <w:tcPr>
            <w:tcW w:w="1095" w:type="dxa"/>
            <w:vMerge/>
            <w:tcBorders>
              <w:top w:val="nil"/>
              <w:left w:val="single" w:sz="4" w:space="0" w:color="auto"/>
              <w:bottom w:val="nil"/>
              <w:right w:val="single" w:sz="4" w:space="0" w:color="auto"/>
            </w:tcBorders>
            <w:vAlign w:val="center"/>
            <w:hideMark/>
          </w:tcPr>
          <w:p w14:paraId="095AD282" w14:textId="77777777" w:rsidR="00231845" w:rsidRPr="00231845" w:rsidRDefault="00231845" w:rsidP="00231845">
            <w:pPr>
              <w:rPr>
                <w:rFonts w:eastAsia="Times New Roman" w:cs="Calibri"/>
                <w:sz w:val="18"/>
                <w:szCs w:val="18"/>
              </w:rPr>
            </w:pPr>
          </w:p>
        </w:tc>
      </w:tr>
      <w:tr w:rsidR="006B283A" w:rsidRPr="00231845" w14:paraId="63B0CF1C" w14:textId="77777777" w:rsidTr="00231845">
        <w:trPr>
          <w:trHeight w:val="281"/>
        </w:trPr>
        <w:tc>
          <w:tcPr>
            <w:tcW w:w="1420" w:type="dxa"/>
            <w:tcBorders>
              <w:top w:val="nil"/>
              <w:left w:val="single" w:sz="4" w:space="0" w:color="auto"/>
              <w:bottom w:val="nil"/>
              <w:right w:val="single" w:sz="4" w:space="0" w:color="auto"/>
            </w:tcBorders>
            <w:shd w:val="clear" w:color="auto" w:fill="auto"/>
            <w:vAlign w:val="center"/>
            <w:hideMark/>
          </w:tcPr>
          <w:p w14:paraId="513BD518" w14:textId="77777777" w:rsidR="00231845" w:rsidRPr="00231845" w:rsidRDefault="00231845" w:rsidP="00231845">
            <w:pPr>
              <w:rPr>
                <w:rFonts w:eastAsia="Times New Roman" w:cs="Calibri"/>
                <w:color w:val="000000"/>
                <w:sz w:val="16"/>
                <w:szCs w:val="16"/>
              </w:rPr>
            </w:pPr>
            <w:r w:rsidRPr="00231845">
              <w:rPr>
                <w:rFonts w:eastAsia="Times New Roman" w:cs="Calibri"/>
                <w:color w:val="000000"/>
                <w:sz w:val="16"/>
                <w:szCs w:val="16"/>
              </w:rPr>
              <w:t xml:space="preserve">8. Indirect Support Costs (Max. 7%)  </w:t>
            </w:r>
          </w:p>
        </w:tc>
        <w:tc>
          <w:tcPr>
            <w:tcW w:w="1280" w:type="dxa"/>
            <w:tcBorders>
              <w:top w:val="nil"/>
              <w:left w:val="nil"/>
              <w:bottom w:val="nil"/>
              <w:right w:val="single" w:sz="4" w:space="0" w:color="auto"/>
            </w:tcBorders>
            <w:shd w:val="clear" w:color="auto" w:fill="auto"/>
            <w:vAlign w:val="center"/>
            <w:hideMark/>
          </w:tcPr>
          <w:p w14:paraId="7F6AE28A" w14:textId="77777777" w:rsidR="00231845" w:rsidRPr="00231845" w:rsidRDefault="00231845" w:rsidP="00231845">
            <w:pPr>
              <w:jc w:val="center"/>
              <w:rPr>
                <w:rFonts w:eastAsia="Times New Roman" w:cs="Calibri"/>
                <w:i/>
                <w:iCs/>
                <w:sz w:val="18"/>
                <w:szCs w:val="18"/>
              </w:rPr>
            </w:pPr>
            <w:r w:rsidRPr="00231845">
              <w:rPr>
                <w:rFonts w:eastAsia="Times New Roman" w:cs="Calibri"/>
                <w:i/>
                <w:iCs/>
                <w:sz w:val="18"/>
                <w:szCs w:val="18"/>
              </w:rPr>
              <w:t xml:space="preserve">             22,609 </w:t>
            </w:r>
          </w:p>
        </w:tc>
        <w:tc>
          <w:tcPr>
            <w:tcW w:w="1180" w:type="dxa"/>
            <w:tcBorders>
              <w:top w:val="nil"/>
              <w:left w:val="nil"/>
              <w:bottom w:val="nil"/>
              <w:right w:val="single" w:sz="4" w:space="0" w:color="auto"/>
            </w:tcBorders>
            <w:shd w:val="clear" w:color="000000" w:fill="D9E1F2"/>
            <w:vAlign w:val="center"/>
            <w:hideMark/>
          </w:tcPr>
          <w:p w14:paraId="4281CCC2" w14:textId="77777777" w:rsidR="00231845" w:rsidRPr="00231845" w:rsidRDefault="00231845" w:rsidP="00231845">
            <w:pPr>
              <w:jc w:val="center"/>
              <w:rPr>
                <w:rFonts w:eastAsia="Times New Roman" w:cs="Calibri"/>
                <w:sz w:val="22"/>
              </w:rPr>
            </w:pPr>
            <w:r w:rsidRPr="00231845">
              <w:rPr>
                <w:rFonts w:eastAsia="Times New Roman" w:cs="Calibri"/>
                <w:sz w:val="22"/>
              </w:rPr>
              <w:t> </w:t>
            </w:r>
          </w:p>
        </w:tc>
        <w:tc>
          <w:tcPr>
            <w:tcW w:w="1280" w:type="dxa"/>
            <w:tcBorders>
              <w:top w:val="nil"/>
              <w:left w:val="nil"/>
              <w:bottom w:val="nil"/>
              <w:right w:val="single" w:sz="4" w:space="0" w:color="auto"/>
            </w:tcBorders>
            <w:shd w:val="clear" w:color="auto" w:fill="auto"/>
            <w:vAlign w:val="center"/>
            <w:hideMark/>
          </w:tcPr>
          <w:p w14:paraId="0898F570" w14:textId="77777777" w:rsidR="00231845" w:rsidRPr="00231845" w:rsidRDefault="00231845" w:rsidP="00231845">
            <w:pPr>
              <w:jc w:val="center"/>
              <w:rPr>
                <w:rFonts w:eastAsia="Times New Roman" w:cs="Calibri"/>
                <w:i/>
                <w:iCs/>
                <w:sz w:val="18"/>
                <w:szCs w:val="18"/>
              </w:rPr>
            </w:pPr>
            <w:r w:rsidRPr="00231845">
              <w:rPr>
                <w:rFonts w:eastAsia="Times New Roman" w:cs="Calibri"/>
                <w:i/>
                <w:iCs/>
                <w:sz w:val="18"/>
                <w:szCs w:val="18"/>
              </w:rPr>
              <w:t xml:space="preserve">             17,360 </w:t>
            </w:r>
          </w:p>
        </w:tc>
        <w:tc>
          <w:tcPr>
            <w:tcW w:w="1075" w:type="dxa"/>
            <w:tcBorders>
              <w:top w:val="nil"/>
              <w:left w:val="nil"/>
              <w:bottom w:val="nil"/>
              <w:right w:val="single" w:sz="4" w:space="0" w:color="auto"/>
            </w:tcBorders>
            <w:shd w:val="clear" w:color="000000" w:fill="D9E1F2"/>
            <w:vAlign w:val="center"/>
            <w:hideMark/>
          </w:tcPr>
          <w:p w14:paraId="6F0C7DAF" w14:textId="77777777" w:rsidR="00231845" w:rsidRPr="00231845" w:rsidRDefault="00231845" w:rsidP="00231845">
            <w:pPr>
              <w:jc w:val="center"/>
              <w:rPr>
                <w:rFonts w:eastAsia="Times New Roman" w:cs="Calibri"/>
                <w:sz w:val="22"/>
              </w:rPr>
            </w:pPr>
            <w:r w:rsidRPr="00231845">
              <w:rPr>
                <w:rFonts w:eastAsia="Times New Roman" w:cs="Calibri"/>
                <w:sz w:val="22"/>
              </w:rPr>
              <w:t> </w:t>
            </w:r>
          </w:p>
        </w:tc>
        <w:tc>
          <w:tcPr>
            <w:tcW w:w="1280" w:type="dxa"/>
            <w:tcBorders>
              <w:top w:val="nil"/>
              <w:left w:val="nil"/>
              <w:bottom w:val="nil"/>
              <w:right w:val="single" w:sz="4" w:space="0" w:color="auto"/>
            </w:tcBorders>
            <w:shd w:val="clear" w:color="auto" w:fill="auto"/>
            <w:vAlign w:val="center"/>
            <w:hideMark/>
          </w:tcPr>
          <w:p w14:paraId="4D3EA506" w14:textId="77777777" w:rsidR="00231845" w:rsidRPr="00231845" w:rsidRDefault="00231845" w:rsidP="00231845">
            <w:pPr>
              <w:jc w:val="center"/>
              <w:rPr>
                <w:rFonts w:eastAsia="Times New Roman" w:cs="Calibri"/>
                <w:i/>
                <w:iCs/>
                <w:sz w:val="18"/>
                <w:szCs w:val="18"/>
              </w:rPr>
            </w:pPr>
            <w:r w:rsidRPr="00231845">
              <w:rPr>
                <w:rFonts w:eastAsia="Times New Roman" w:cs="Calibri"/>
                <w:i/>
                <w:iCs/>
                <w:sz w:val="18"/>
                <w:szCs w:val="18"/>
              </w:rPr>
              <w:t xml:space="preserve">             13,139 </w:t>
            </w:r>
          </w:p>
        </w:tc>
        <w:tc>
          <w:tcPr>
            <w:tcW w:w="1075" w:type="dxa"/>
            <w:tcBorders>
              <w:top w:val="nil"/>
              <w:left w:val="nil"/>
              <w:bottom w:val="nil"/>
              <w:right w:val="nil"/>
            </w:tcBorders>
            <w:shd w:val="clear" w:color="000000" w:fill="D9E1F2"/>
            <w:vAlign w:val="center"/>
            <w:hideMark/>
          </w:tcPr>
          <w:p w14:paraId="774DBA28"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w:t>
            </w:r>
          </w:p>
        </w:tc>
        <w:tc>
          <w:tcPr>
            <w:tcW w:w="1280" w:type="dxa"/>
            <w:tcBorders>
              <w:top w:val="nil"/>
              <w:left w:val="single" w:sz="4" w:space="0" w:color="auto"/>
              <w:bottom w:val="nil"/>
              <w:right w:val="single" w:sz="4" w:space="0" w:color="auto"/>
            </w:tcBorders>
            <w:shd w:val="clear" w:color="auto" w:fill="auto"/>
            <w:vAlign w:val="center"/>
            <w:hideMark/>
          </w:tcPr>
          <w:p w14:paraId="7BEB8EB5" w14:textId="77777777" w:rsidR="00231845" w:rsidRPr="00231845" w:rsidRDefault="00231845" w:rsidP="00231845">
            <w:pPr>
              <w:jc w:val="center"/>
              <w:rPr>
                <w:rFonts w:eastAsia="Times New Roman" w:cs="Calibri"/>
                <w:i/>
                <w:iCs/>
                <w:sz w:val="18"/>
                <w:szCs w:val="18"/>
              </w:rPr>
            </w:pPr>
            <w:r w:rsidRPr="00231845">
              <w:rPr>
                <w:rFonts w:eastAsia="Times New Roman" w:cs="Calibri"/>
                <w:i/>
                <w:iCs/>
                <w:sz w:val="18"/>
                <w:szCs w:val="18"/>
              </w:rPr>
              <w:t xml:space="preserve">               7,840 </w:t>
            </w:r>
          </w:p>
        </w:tc>
        <w:tc>
          <w:tcPr>
            <w:tcW w:w="1075" w:type="dxa"/>
            <w:tcBorders>
              <w:top w:val="nil"/>
              <w:left w:val="nil"/>
              <w:bottom w:val="nil"/>
              <w:right w:val="single" w:sz="4" w:space="0" w:color="auto"/>
            </w:tcBorders>
            <w:shd w:val="clear" w:color="000000" w:fill="D9E1F2"/>
            <w:vAlign w:val="center"/>
            <w:hideMark/>
          </w:tcPr>
          <w:p w14:paraId="16CEB177" w14:textId="77777777" w:rsidR="00231845" w:rsidRPr="00231845" w:rsidRDefault="00231845" w:rsidP="00231845">
            <w:pPr>
              <w:jc w:val="center"/>
              <w:rPr>
                <w:rFonts w:eastAsia="Times New Roman" w:cs="Calibri"/>
                <w:sz w:val="18"/>
                <w:szCs w:val="18"/>
              </w:rPr>
            </w:pPr>
            <w:r w:rsidRPr="00231845">
              <w:rPr>
                <w:rFonts w:eastAsia="Times New Roman" w:cs="Calibri"/>
                <w:sz w:val="18"/>
                <w:szCs w:val="18"/>
              </w:rPr>
              <w:t> </w:t>
            </w:r>
          </w:p>
        </w:tc>
        <w:tc>
          <w:tcPr>
            <w:tcW w:w="1280" w:type="dxa"/>
            <w:tcBorders>
              <w:top w:val="nil"/>
              <w:left w:val="nil"/>
              <w:bottom w:val="nil"/>
              <w:right w:val="single" w:sz="4" w:space="0" w:color="auto"/>
            </w:tcBorders>
            <w:shd w:val="clear" w:color="auto" w:fill="auto"/>
            <w:vAlign w:val="center"/>
            <w:hideMark/>
          </w:tcPr>
          <w:p w14:paraId="127AD183" w14:textId="77777777" w:rsidR="00231845" w:rsidRPr="00231845" w:rsidRDefault="00231845" w:rsidP="00231845">
            <w:pPr>
              <w:jc w:val="center"/>
              <w:rPr>
                <w:rFonts w:eastAsia="Times New Roman" w:cs="Calibri"/>
                <w:i/>
                <w:iCs/>
                <w:sz w:val="18"/>
                <w:szCs w:val="18"/>
              </w:rPr>
            </w:pPr>
            <w:r w:rsidRPr="00231845">
              <w:rPr>
                <w:rFonts w:eastAsia="Times New Roman" w:cs="Calibri"/>
                <w:i/>
                <w:iCs/>
                <w:sz w:val="18"/>
                <w:szCs w:val="18"/>
              </w:rPr>
              <w:t xml:space="preserve">60,948 </w:t>
            </w:r>
          </w:p>
        </w:tc>
        <w:tc>
          <w:tcPr>
            <w:tcW w:w="1095" w:type="dxa"/>
            <w:vMerge/>
            <w:tcBorders>
              <w:top w:val="nil"/>
              <w:left w:val="single" w:sz="4" w:space="0" w:color="auto"/>
              <w:bottom w:val="nil"/>
              <w:right w:val="single" w:sz="4" w:space="0" w:color="auto"/>
            </w:tcBorders>
            <w:vAlign w:val="center"/>
            <w:hideMark/>
          </w:tcPr>
          <w:p w14:paraId="0CC459AC" w14:textId="77777777" w:rsidR="00231845" w:rsidRPr="00231845" w:rsidRDefault="00231845" w:rsidP="00231845">
            <w:pPr>
              <w:rPr>
                <w:rFonts w:eastAsia="Times New Roman" w:cs="Calibri"/>
                <w:sz w:val="18"/>
                <w:szCs w:val="18"/>
              </w:rPr>
            </w:pPr>
          </w:p>
        </w:tc>
      </w:tr>
      <w:tr w:rsidR="006B283A" w:rsidRPr="00231845" w14:paraId="78D9B8B6" w14:textId="77777777" w:rsidTr="00231845">
        <w:trPr>
          <w:trHeight w:val="281"/>
        </w:trPr>
        <w:tc>
          <w:tcPr>
            <w:tcW w:w="142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110644C9" w14:textId="77777777" w:rsidR="00231845" w:rsidRPr="00231845" w:rsidRDefault="00231845" w:rsidP="00231845">
            <w:pPr>
              <w:rPr>
                <w:rFonts w:eastAsia="Times New Roman" w:cs="Calibri"/>
                <w:b/>
                <w:bCs/>
                <w:color w:val="000000"/>
                <w:szCs w:val="20"/>
              </w:rPr>
            </w:pPr>
            <w:r w:rsidRPr="00231845">
              <w:rPr>
                <w:rFonts w:eastAsia="Times New Roman" w:cs="Calibri"/>
                <w:b/>
                <w:bCs/>
                <w:color w:val="000000"/>
                <w:szCs w:val="20"/>
              </w:rPr>
              <w:lastRenderedPageBreak/>
              <w:t>TOTAL Costs</w:t>
            </w:r>
          </w:p>
        </w:tc>
        <w:tc>
          <w:tcPr>
            <w:tcW w:w="1280" w:type="dxa"/>
            <w:tcBorders>
              <w:top w:val="single" w:sz="8" w:space="0" w:color="auto"/>
              <w:left w:val="nil"/>
              <w:bottom w:val="single" w:sz="8" w:space="0" w:color="auto"/>
              <w:right w:val="single" w:sz="8" w:space="0" w:color="auto"/>
            </w:tcBorders>
            <w:shd w:val="clear" w:color="000000" w:fill="BDD7EE"/>
            <w:vAlign w:val="center"/>
            <w:hideMark/>
          </w:tcPr>
          <w:p w14:paraId="38897DCE" w14:textId="77777777" w:rsidR="00231845" w:rsidRPr="00231845" w:rsidRDefault="00231845" w:rsidP="00231845">
            <w:pPr>
              <w:jc w:val="center"/>
              <w:rPr>
                <w:rFonts w:eastAsia="Times New Roman" w:cs="Calibri"/>
                <w:b/>
                <w:bCs/>
                <w:szCs w:val="20"/>
              </w:rPr>
            </w:pPr>
            <w:r w:rsidRPr="00231845">
              <w:rPr>
                <w:rFonts w:eastAsia="Times New Roman" w:cs="Calibri"/>
                <w:b/>
                <w:bCs/>
                <w:szCs w:val="20"/>
              </w:rPr>
              <w:t xml:space="preserve">       345,595 </w:t>
            </w:r>
          </w:p>
        </w:tc>
        <w:tc>
          <w:tcPr>
            <w:tcW w:w="1180" w:type="dxa"/>
            <w:tcBorders>
              <w:top w:val="single" w:sz="8" w:space="0" w:color="auto"/>
              <w:left w:val="nil"/>
              <w:bottom w:val="single" w:sz="8" w:space="0" w:color="auto"/>
              <w:right w:val="single" w:sz="8" w:space="0" w:color="auto"/>
            </w:tcBorders>
            <w:shd w:val="clear" w:color="000000" w:fill="BDD7EE"/>
            <w:vAlign w:val="center"/>
            <w:hideMark/>
          </w:tcPr>
          <w:p w14:paraId="0DAC16D0" w14:textId="77777777" w:rsidR="00231845" w:rsidRPr="00231845" w:rsidRDefault="00231845" w:rsidP="00231845">
            <w:pPr>
              <w:jc w:val="center"/>
              <w:rPr>
                <w:rFonts w:eastAsia="Times New Roman" w:cs="Calibri"/>
                <w:b/>
                <w:bCs/>
                <w:szCs w:val="20"/>
              </w:rPr>
            </w:pPr>
            <w:r w:rsidRPr="00231845">
              <w:rPr>
                <w:rFonts w:eastAsia="Times New Roman" w:cs="Calibri"/>
                <w:b/>
                <w:bCs/>
                <w:szCs w:val="20"/>
              </w:rPr>
              <w:t xml:space="preserve">       410,900 </w:t>
            </w:r>
          </w:p>
        </w:tc>
        <w:tc>
          <w:tcPr>
            <w:tcW w:w="1280" w:type="dxa"/>
            <w:tcBorders>
              <w:top w:val="single" w:sz="8" w:space="0" w:color="auto"/>
              <w:left w:val="nil"/>
              <w:bottom w:val="single" w:sz="8" w:space="0" w:color="auto"/>
              <w:right w:val="single" w:sz="8" w:space="0" w:color="auto"/>
            </w:tcBorders>
            <w:shd w:val="clear" w:color="000000" w:fill="BDD7EE"/>
            <w:vAlign w:val="center"/>
            <w:hideMark/>
          </w:tcPr>
          <w:p w14:paraId="1DF3EE46" w14:textId="77777777" w:rsidR="00231845" w:rsidRPr="00231845" w:rsidRDefault="00231845" w:rsidP="00231845">
            <w:pPr>
              <w:jc w:val="center"/>
              <w:rPr>
                <w:rFonts w:eastAsia="Times New Roman" w:cs="Calibri"/>
                <w:b/>
                <w:bCs/>
                <w:szCs w:val="20"/>
              </w:rPr>
            </w:pPr>
            <w:r w:rsidRPr="00231845">
              <w:rPr>
                <w:rFonts w:eastAsia="Times New Roman" w:cs="Calibri"/>
                <w:b/>
                <w:bCs/>
                <w:szCs w:val="20"/>
              </w:rPr>
              <w:t xml:space="preserve">       265,360 </w:t>
            </w:r>
          </w:p>
        </w:tc>
        <w:tc>
          <w:tcPr>
            <w:tcW w:w="1075" w:type="dxa"/>
            <w:tcBorders>
              <w:top w:val="single" w:sz="8" w:space="0" w:color="auto"/>
              <w:left w:val="nil"/>
              <w:bottom w:val="single" w:sz="8" w:space="0" w:color="auto"/>
              <w:right w:val="single" w:sz="8" w:space="0" w:color="auto"/>
            </w:tcBorders>
            <w:shd w:val="clear" w:color="000000" w:fill="BDD7EE"/>
            <w:vAlign w:val="center"/>
            <w:hideMark/>
          </w:tcPr>
          <w:p w14:paraId="3208BC90" w14:textId="77777777" w:rsidR="00231845" w:rsidRPr="00231845" w:rsidRDefault="00231845" w:rsidP="00231845">
            <w:pPr>
              <w:jc w:val="center"/>
              <w:rPr>
                <w:rFonts w:eastAsia="Times New Roman" w:cs="Calibri"/>
                <w:b/>
                <w:bCs/>
                <w:szCs w:val="20"/>
              </w:rPr>
            </w:pPr>
            <w:r w:rsidRPr="00231845">
              <w:rPr>
                <w:rFonts w:eastAsia="Times New Roman" w:cs="Calibri"/>
                <w:b/>
                <w:bCs/>
                <w:szCs w:val="20"/>
              </w:rPr>
              <w:t xml:space="preserve">          50,000 </w:t>
            </w:r>
          </w:p>
        </w:tc>
        <w:tc>
          <w:tcPr>
            <w:tcW w:w="1280" w:type="dxa"/>
            <w:tcBorders>
              <w:top w:val="single" w:sz="8" w:space="0" w:color="auto"/>
              <w:left w:val="nil"/>
              <w:bottom w:val="single" w:sz="8" w:space="0" w:color="auto"/>
              <w:right w:val="single" w:sz="8" w:space="0" w:color="auto"/>
            </w:tcBorders>
            <w:shd w:val="clear" w:color="000000" w:fill="BDD7EE"/>
            <w:vAlign w:val="center"/>
            <w:hideMark/>
          </w:tcPr>
          <w:p w14:paraId="14369E95" w14:textId="77777777" w:rsidR="00231845" w:rsidRPr="00231845" w:rsidRDefault="00231845" w:rsidP="00231845">
            <w:pPr>
              <w:jc w:val="center"/>
              <w:rPr>
                <w:rFonts w:eastAsia="Times New Roman" w:cs="Calibri"/>
                <w:b/>
                <w:bCs/>
                <w:szCs w:val="20"/>
              </w:rPr>
            </w:pPr>
            <w:r w:rsidRPr="00231845">
              <w:rPr>
                <w:rFonts w:eastAsia="Times New Roman" w:cs="Calibri"/>
                <w:b/>
                <w:bCs/>
                <w:szCs w:val="20"/>
              </w:rPr>
              <w:t xml:space="preserve">       200,839 </w:t>
            </w:r>
          </w:p>
        </w:tc>
        <w:tc>
          <w:tcPr>
            <w:tcW w:w="1075" w:type="dxa"/>
            <w:tcBorders>
              <w:top w:val="single" w:sz="8" w:space="0" w:color="auto"/>
              <w:left w:val="nil"/>
              <w:bottom w:val="single" w:sz="8" w:space="0" w:color="auto"/>
              <w:right w:val="single" w:sz="8" w:space="0" w:color="auto"/>
            </w:tcBorders>
            <w:shd w:val="clear" w:color="000000" w:fill="BDD7EE"/>
            <w:vAlign w:val="center"/>
            <w:hideMark/>
          </w:tcPr>
          <w:p w14:paraId="0E6E6B6F" w14:textId="77777777" w:rsidR="00231845" w:rsidRPr="00231845" w:rsidRDefault="00231845" w:rsidP="00231845">
            <w:pPr>
              <w:jc w:val="center"/>
              <w:rPr>
                <w:rFonts w:eastAsia="Times New Roman" w:cs="Calibri"/>
                <w:b/>
                <w:bCs/>
                <w:szCs w:val="20"/>
              </w:rPr>
            </w:pPr>
            <w:r w:rsidRPr="00231845">
              <w:rPr>
                <w:rFonts w:eastAsia="Times New Roman" w:cs="Calibri"/>
                <w:b/>
                <w:bCs/>
                <w:szCs w:val="20"/>
              </w:rPr>
              <w:t xml:space="preserve">         45,000 </w:t>
            </w:r>
          </w:p>
        </w:tc>
        <w:tc>
          <w:tcPr>
            <w:tcW w:w="1280" w:type="dxa"/>
            <w:tcBorders>
              <w:top w:val="single" w:sz="8" w:space="0" w:color="auto"/>
              <w:left w:val="nil"/>
              <w:bottom w:val="single" w:sz="8" w:space="0" w:color="auto"/>
              <w:right w:val="single" w:sz="8" w:space="0" w:color="auto"/>
            </w:tcBorders>
            <w:shd w:val="clear" w:color="000000" w:fill="BDD7EE"/>
            <w:vAlign w:val="center"/>
            <w:hideMark/>
          </w:tcPr>
          <w:p w14:paraId="3D1C48BB" w14:textId="77777777" w:rsidR="00231845" w:rsidRPr="00231845" w:rsidRDefault="00231845" w:rsidP="00231845">
            <w:pPr>
              <w:jc w:val="center"/>
              <w:rPr>
                <w:rFonts w:eastAsia="Times New Roman" w:cs="Calibri"/>
                <w:b/>
                <w:bCs/>
                <w:szCs w:val="20"/>
              </w:rPr>
            </w:pPr>
            <w:r w:rsidRPr="00231845">
              <w:rPr>
                <w:rFonts w:eastAsia="Times New Roman" w:cs="Calibri"/>
                <w:b/>
                <w:bCs/>
                <w:szCs w:val="20"/>
              </w:rPr>
              <w:t xml:space="preserve">       119,840 </w:t>
            </w:r>
          </w:p>
        </w:tc>
        <w:tc>
          <w:tcPr>
            <w:tcW w:w="1075" w:type="dxa"/>
            <w:tcBorders>
              <w:top w:val="single" w:sz="8" w:space="0" w:color="auto"/>
              <w:left w:val="nil"/>
              <w:bottom w:val="single" w:sz="8" w:space="0" w:color="auto"/>
              <w:right w:val="single" w:sz="8" w:space="0" w:color="auto"/>
            </w:tcBorders>
            <w:shd w:val="clear" w:color="000000" w:fill="BDD7EE"/>
            <w:vAlign w:val="center"/>
            <w:hideMark/>
          </w:tcPr>
          <w:p w14:paraId="011F0BBF" w14:textId="77777777" w:rsidR="00231845" w:rsidRPr="00231845" w:rsidRDefault="00231845" w:rsidP="00231845">
            <w:pPr>
              <w:jc w:val="center"/>
              <w:rPr>
                <w:rFonts w:eastAsia="Times New Roman" w:cs="Calibri"/>
                <w:b/>
                <w:bCs/>
                <w:szCs w:val="20"/>
              </w:rPr>
            </w:pPr>
            <w:r w:rsidRPr="00231845">
              <w:rPr>
                <w:rFonts w:eastAsia="Times New Roman" w:cs="Calibri"/>
                <w:b/>
                <w:bCs/>
                <w:szCs w:val="20"/>
              </w:rPr>
              <w:t xml:space="preserve">         35,000 </w:t>
            </w:r>
          </w:p>
        </w:tc>
        <w:tc>
          <w:tcPr>
            <w:tcW w:w="1280" w:type="dxa"/>
            <w:tcBorders>
              <w:top w:val="single" w:sz="8" w:space="0" w:color="auto"/>
              <w:left w:val="nil"/>
              <w:bottom w:val="single" w:sz="8" w:space="0" w:color="auto"/>
              <w:right w:val="single" w:sz="8" w:space="0" w:color="auto"/>
            </w:tcBorders>
            <w:shd w:val="clear" w:color="000000" w:fill="BDD7EE"/>
            <w:vAlign w:val="center"/>
            <w:hideMark/>
          </w:tcPr>
          <w:p w14:paraId="1F1261C0" w14:textId="77777777" w:rsidR="00231845" w:rsidRPr="00231845" w:rsidRDefault="00231845" w:rsidP="00231845">
            <w:pPr>
              <w:jc w:val="center"/>
              <w:rPr>
                <w:rFonts w:eastAsia="Times New Roman" w:cs="Calibri"/>
                <w:b/>
                <w:bCs/>
                <w:szCs w:val="20"/>
              </w:rPr>
            </w:pPr>
            <w:r w:rsidRPr="00231845">
              <w:rPr>
                <w:rFonts w:eastAsia="Times New Roman" w:cs="Calibri"/>
                <w:b/>
                <w:bCs/>
                <w:szCs w:val="20"/>
              </w:rPr>
              <w:t xml:space="preserve">       931,634 </w:t>
            </w:r>
          </w:p>
        </w:tc>
        <w:tc>
          <w:tcPr>
            <w:tcW w:w="1095" w:type="dxa"/>
            <w:tcBorders>
              <w:top w:val="single" w:sz="8" w:space="0" w:color="auto"/>
              <w:left w:val="nil"/>
              <w:bottom w:val="single" w:sz="8" w:space="0" w:color="auto"/>
              <w:right w:val="single" w:sz="8" w:space="0" w:color="auto"/>
            </w:tcBorders>
            <w:shd w:val="clear" w:color="000000" w:fill="BDD7EE"/>
            <w:vAlign w:val="center"/>
            <w:hideMark/>
          </w:tcPr>
          <w:p w14:paraId="1F3CC18B" w14:textId="77777777" w:rsidR="00231845" w:rsidRPr="00231845" w:rsidRDefault="00231845" w:rsidP="00231845">
            <w:pPr>
              <w:jc w:val="center"/>
              <w:rPr>
                <w:rFonts w:eastAsia="Times New Roman" w:cs="Calibri"/>
                <w:b/>
                <w:bCs/>
                <w:szCs w:val="20"/>
              </w:rPr>
            </w:pPr>
            <w:r w:rsidRPr="00231845">
              <w:rPr>
                <w:rFonts w:eastAsia="Times New Roman" w:cs="Calibri"/>
                <w:b/>
                <w:bCs/>
                <w:szCs w:val="20"/>
              </w:rPr>
              <w:t xml:space="preserve">       540,900 </w:t>
            </w:r>
          </w:p>
        </w:tc>
      </w:tr>
      <w:tr w:rsidR="006B283A" w:rsidRPr="00231845" w14:paraId="1BCA14AF" w14:textId="77777777" w:rsidTr="00231845">
        <w:trPr>
          <w:trHeight w:val="270"/>
        </w:trPr>
        <w:tc>
          <w:tcPr>
            <w:tcW w:w="1420" w:type="dxa"/>
            <w:tcBorders>
              <w:top w:val="nil"/>
              <w:left w:val="single" w:sz="8" w:space="0" w:color="auto"/>
              <w:bottom w:val="single" w:sz="4" w:space="0" w:color="auto"/>
              <w:right w:val="single" w:sz="4" w:space="0" w:color="auto"/>
            </w:tcBorders>
            <w:shd w:val="clear" w:color="auto" w:fill="auto"/>
            <w:vAlign w:val="center"/>
            <w:hideMark/>
          </w:tcPr>
          <w:p w14:paraId="5390240D" w14:textId="77777777" w:rsidR="00231845" w:rsidRPr="00231845" w:rsidRDefault="00231845" w:rsidP="00231845">
            <w:pPr>
              <w:rPr>
                <w:rFonts w:eastAsia="Times New Roman" w:cs="Calibri"/>
                <w:b/>
                <w:bCs/>
                <w:i/>
                <w:iCs/>
                <w:color w:val="000000"/>
                <w:sz w:val="18"/>
                <w:szCs w:val="18"/>
              </w:rPr>
            </w:pPr>
            <w:r w:rsidRPr="00231845">
              <w:rPr>
                <w:rFonts w:eastAsia="Times New Roman" w:cs="Calibri"/>
                <w:b/>
                <w:bCs/>
                <w:i/>
                <w:iCs/>
                <w:color w:val="000000"/>
                <w:sz w:val="18"/>
                <w:szCs w:val="18"/>
              </w:rPr>
              <w:t>1st year</w:t>
            </w:r>
          </w:p>
        </w:tc>
        <w:tc>
          <w:tcPr>
            <w:tcW w:w="1280" w:type="dxa"/>
            <w:tcBorders>
              <w:top w:val="nil"/>
              <w:left w:val="nil"/>
              <w:bottom w:val="single" w:sz="4" w:space="0" w:color="auto"/>
              <w:right w:val="single" w:sz="4" w:space="0" w:color="auto"/>
            </w:tcBorders>
            <w:shd w:val="clear" w:color="000000" w:fill="BDD7EE"/>
            <w:noWrap/>
            <w:vAlign w:val="center"/>
            <w:hideMark/>
          </w:tcPr>
          <w:p w14:paraId="5BC3E79B" w14:textId="1CD6E389" w:rsidR="00231845" w:rsidRPr="00A421B9" w:rsidRDefault="00231845" w:rsidP="00231845">
            <w:pPr>
              <w:jc w:val="center"/>
              <w:rPr>
                <w:rFonts w:eastAsia="Times New Roman" w:cs="Calibri"/>
                <w:b/>
                <w:bCs/>
                <w:sz w:val="18"/>
                <w:szCs w:val="18"/>
              </w:rPr>
            </w:pPr>
            <w:r w:rsidRPr="00A421B9">
              <w:rPr>
                <w:rFonts w:eastAsia="Times New Roman" w:cs="Calibri"/>
                <w:b/>
                <w:bCs/>
                <w:sz w:val="18"/>
                <w:szCs w:val="18"/>
              </w:rPr>
              <w:t xml:space="preserve">  135,977.00</w:t>
            </w:r>
          </w:p>
        </w:tc>
        <w:tc>
          <w:tcPr>
            <w:tcW w:w="1180" w:type="dxa"/>
            <w:tcBorders>
              <w:top w:val="nil"/>
              <w:left w:val="nil"/>
              <w:bottom w:val="single" w:sz="4" w:space="0" w:color="auto"/>
              <w:right w:val="single" w:sz="4" w:space="0" w:color="auto"/>
            </w:tcBorders>
            <w:shd w:val="clear" w:color="000000" w:fill="BDD7EE"/>
            <w:noWrap/>
            <w:vAlign w:val="center"/>
            <w:hideMark/>
          </w:tcPr>
          <w:p w14:paraId="0598F9D5" w14:textId="77777777" w:rsidR="00231845" w:rsidRPr="00A421B9" w:rsidRDefault="00231845" w:rsidP="00231845">
            <w:pPr>
              <w:jc w:val="center"/>
              <w:rPr>
                <w:rFonts w:eastAsia="Times New Roman" w:cs="Calibri"/>
                <w:sz w:val="18"/>
                <w:szCs w:val="18"/>
              </w:rPr>
            </w:pPr>
            <w:r w:rsidRPr="00A421B9">
              <w:rPr>
                <w:rFonts w:eastAsia="Times New Roman" w:cs="Calibri"/>
                <w:sz w:val="18"/>
                <w:szCs w:val="18"/>
              </w:rPr>
              <w:t xml:space="preserve">   210,900.00 </w:t>
            </w:r>
          </w:p>
        </w:tc>
        <w:tc>
          <w:tcPr>
            <w:tcW w:w="1280" w:type="dxa"/>
            <w:tcBorders>
              <w:top w:val="nil"/>
              <w:left w:val="nil"/>
              <w:bottom w:val="single" w:sz="4" w:space="0" w:color="auto"/>
              <w:right w:val="single" w:sz="4" w:space="0" w:color="auto"/>
            </w:tcBorders>
            <w:shd w:val="clear" w:color="000000" w:fill="BDD7EE"/>
            <w:noWrap/>
            <w:vAlign w:val="center"/>
            <w:hideMark/>
          </w:tcPr>
          <w:p w14:paraId="58B50FA8" w14:textId="77777777" w:rsidR="00231845" w:rsidRPr="00A421B9" w:rsidRDefault="00231845" w:rsidP="00231845">
            <w:pPr>
              <w:jc w:val="center"/>
              <w:rPr>
                <w:rFonts w:eastAsia="Times New Roman" w:cs="Calibri"/>
                <w:b/>
                <w:bCs/>
                <w:sz w:val="18"/>
                <w:szCs w:val="18"/>
              </w:rPr>
            </w:pPr>
            <w:r w:rsidRPr="00A421B9">
              <w:rPr>
                <w:rFonts w:eastAsia="Times New Roman" w:cs="Calibri"/>
                <w:b/>
                <w:bCs/>
                <w:sz w:val="18"/>
                <w:szCs w:val="18"/>
              </w:rPr>
              <w:t xml:space="preserve">  110,000.00 </w:t>
            </w:r>
          </w:p>
        </w:tc>
        <w:tc>
          <w:tcPr>
            <w:tcW w:w="1075" w:type="dxa"/>
            <w:tcBorders>
              <w:top w:val="nil"/>
              <w:left w:val="nil"/>
              <w:bottom w:val="single" w:sz="4" w:space="0" w:color="auto"/>
              <w:right w:val="single" w:sz="4" w:space="0" w:color="auto"/>
            </w:tcBorders>
            <w:shd w:val="clear" w:color="000000" w:fill="BDD7EE"/>
            <w:noWrap/>
            <w:vAlign w:val="center"/>
            <w:hideMark/>
          </w:tcPr>
          <w:p w14:paraId="35269179" w14:textId="77777777" w:rsidR="00231845" w:rsidRPr="00A421B9" w:rsidRDefault="00231845" w:rsidP="00231845">
            <w:pPr>
              <w:jc w:val="center"/>
              <w:rPr>
                <w:rFonts w:eastAsia="Times New Roman" w:cs="Calibri"/>
                <w:sz w:val="18"/>
                <w:szCs w:val="18"/>
              </w:rPr>
            </w:pPr>
            <w:r w:rsidRPr="00A421B9">
              <w:rPr>
                <w:rFonts w:eastAsia="Times New Roman" w:cs="Calibri"/>
                <w:sz w:val="18"/>
                <w:szCs w:val="18"/>
              </w:rPr>
              <w:t xml:space="preserve">      30,000.00 </w:t>
            </w:r>
          </w:p>
        </w:tc>
        <w:tc>
          <w:tcPr>
            <w:tcW w:w="1280" w:type="dxa"/>
            <w:tcBorders>
              <w:top w:val="nil"/>
              <w:left w:val="nil"/>
              <w:bottom w:val="single" w:sz="4" w:space="0" w:color="auto"/>
              <w:right w:val="single" w:sz="4" w:space="0" w:color="auto"/>
            </w:tcBorders>
            <w:shd w:val="clear" w:color="000000" w:fill="BDD7EE"/>
            <w:noWrap/>
            <w:vAlign w:val="center"/>
            <w:hideMark/>
          </w:tcPr>
          <w:p w14:paraId="23A7A8F3" w14:textId="77777777" w:rsidR="00231845" w:rsidRPr="00A421B9" w:rsidRDefault="00231845" w:rsidP="00231845">
            <w:pPr>
              <w:jc w:val="center"/>
              <w:rPr>
                <w:rFonts w:eastAsia="Times New Roman" w:cs="Calibri"/>
                <w:b/>
                <w:bCs/>
                <w:sz w:val="18"/>
                <w:szCs w:val="18"/>
              </w:rPr>
            </w:pPr>
            <w:r w:rsidRPr="00A421B9">
              <w:rPr>
                <w:rFonts w:eastAsia="Times New Roman" w:cs="Calibri"/>
                <w:b/>
                <w:bCs/>
                <w:sz w:val="18"/>
                <w:szCs w:val="18"/>
              </w:rPr>
              <w:t xml:space="preserve">  100,000.00 </w:t>
            </w:r>
          </w:p>
        </w:tc>
        <w:tc>
          <w:tcPr>
            <w:tcW w:w="1075" w:type="dxa"/>
            <w:tcBorders>
              <w:top w:val="nil"/>
              <w:left w:val="nil"/>
              <w:bottom w:val="single" w:sz="4" w:space="0" w:color="auto"/>
              <w:right w:val="single" w:sz="4" w:space="0" w:color="auto"/>
            </w:tcBorders>
            <w:shd w:val="clear" w:color="000000" w:fill="BDD7EE"/>
            <w:noWrap/>
            <w:vAlign w:val="center"/>
            <w:hideMark/>
          </w:tcPr>
          <w:p w14:paraId="72092B85" w14:textId="77777777" w:rsidR="00231845" w:rsidRPr="00A421B9" w:rsidRDefault="00231845" w:rsidP="00231845">
            <w:pPr>
              <w:jc w:val="center"/>
              <w:rPr>
                <w:rFonts w:eastAsia="Times New Roman" w:cs="Calibri"/>
                <w:sz w:val="18"/>
                <w:szCs w:val="18"/>
              </w:rPr>
            </w:pPr>
            <w:r w:rsidRPr="00A421B9">
              <w:rPr>
                <w:rFonts w:eastAsia="Times New Roman" w:cs="Calibri"/>
                <w:sz w:val="18"/>
                <w:szCs w:val="18"/>
              </w:rPr>
              <w:t xml:space="preserve">     20,000.00 </w:t>
            </w:r>
          </w:p>
        </w:tc>
        <w:tc>
          <w:tcPr>
            <w:tcW w:w="1280" w:type="dxa"/>
            <w:tcBorders>
              <w:top w:val="nil"/>
              <w:left w:val="nil"/>
              <w:bottom w:val="single" w:sz="4" w:space="0" w:color="auto"/>
              <w:right w:val="single" w:sz="4" w:space="0" w:color="auto"/>
            </w:tcBorders>
            <w:shd w:val="clear" w:color="000000" w:fill="BDD7EE"/>
            <w:noWrap/>
            <w:vAlign w:val="center"/>
            <w:hideMark/>
          </w:tcPr>
          <w:p w14:paraId="64D784D3" w14:textId="77777777" w:rsidR="00231845" w:rsidRPr="00A421B9" w:rsidRDefault="00231845" w:rsidP="00231845">
            <w:pPr>
              <w:jc w:val="center"/>
              <w:rPr>
                <w:rFonts w:eastAsia="Times New Roman" w:cs="Calibri"/>
                <w:b/>
                <w:bCs/>
                <w:sz w:val="18"/>
                <w:szCs w:val="18"/>
              </w:rPr>
            </w:pPr>
            <w:r w:rsidRPr="00A421B9">
              <w:rPr>
                <w:rFonts w:eastAsia="Times New Roman" w:cs="Calibri"/>
                <w:b/>
                <w:bCs/>
                <w:sz w:val="18"/>
                <w:szCs w:val="18"/>
              </w:rPr>
              <w:t xml:space="preserve">  119,840.00 </w:t>
            </w:r>
          </w:p>
        </w:tc>
        <w:tc>
          <w:tcPr>
            <w:tcW w:w="1075" w:type="dxa"/>
            <w:tcBorders>
              <w:top w:val="nil"/>
              <w:left w:val="nil"/>
              <w:bottom w:val="single" w:sz="4" w:space="0" w:color="auto"/>
              <w:right w:val="single" w:sz="4" w:space="0" w:color="auto"/>
            </w:tcBorders>
            <w:shd w:val="clear" w:color="000000" w:fill="BDD7EE"/>
            <w:noWrap/>
            <w:vAlign w:val="center"/>
            <w:hideMark/>
          </w:tcPr>
          <w:p w14:paraId="3B0F8811" w14:textId="77777777" w:rsidR="00231845" w:rsidRPr="00A421B9" w:rsidRDefault="00231845" w:rsidP="00231845">
            <w:pPr>
              <w:jc w:val="center"/>
              <w:rPr>
                <w:rFonts w:eastAsia="Times New Roman" w:cs="Calibri"/>
                <w:sz w:val="18"/>
                <w:szCs w:val="18"/>
              </w:rPr>
            </w:pPr>
            <w:r w:rsidRPr="00A421B9">
              <w:rPr>
                <w:rFonts w:eastAsia="Times New Roman" w:cs="Calibri"/>
                <w:sz w:val="18"/>
                <w:szCs w:val="18"/>
              </w:rPr>
              <w:t xml:space="preserve">     20,000.00 </w:t>
            </w:r>
          </w:p>
        </w:tc>
        <w:tc>
          <w:tcPr>
            <w:tcW w:w="1280" w:type="dxa"/>
            <w:tcBorders>
              <w:top w:val="nil"/>
              <w:left w:val="nil"/>
              <w:bottom w:val="single" w:sz="4" w:space="0" w:color="auto"/>
              <w:right w:val="single" w:sz="4" w:space="0" w:color="auto"/>
            </w:tcBorders>
            <w:shd w:val="clear" w:color="000000" w:fill="BDD7EE"/>
            <w:noWrap/>
            <w:vAlign w:val="center"/>
            <w:hideMark/>
          </w:tcPr>
          <w:p w14:paraId="5DE3BFDA" w14:textId="77777777" w:rsidR="00231845" w:rsidRPr="00A421B9" w:rsidRDefault="00231845" w:rsidP="00231845">
            <w:pPr>
              <w:jc w:val="center"/>
              <w:rPr>
                <w:rFonts w:eastAsia="Times New Roman" w:cs="Calibri"/>
                <w:b/>
                <w:bCs/>
                <w:sz w:val="18"/>
                <w:szCs w:val="18"/>
              </w:rPr>
            </w:pPr>
            <w:r w:rsidRPr="00A421B9">
              <w:rPr>
                <w:rFonts w:eastAsia="Times New Roman" w:cs="Calibri"/>
                <w:b/>
                <w:bCs/>
                <w:sz w:val="18"/>
                <w:szCs w:val="18"/>
              </w:rPr>
              <w:t xml:space="preserve">  465,817.00 </w:t>
            </w:r>
          </w:p>
        </w:tc>
        <w:tc>
          <w:tcPr>
            <w:tcW w:w="1095" w:type="dxa"/>
            <w:tcBorders>
              <w:top w:val="nil"/>
              <w:left w:val="nil"/>
              <w:bottom w:val="single" w:sz="4" w:space="0" w:color="auto"/>
              <w:right w:val="single" w:sz="8" w:space="0" w:color="auto"/>
            </w:tcBorders>
            <w:shd w:val="clear" w:color="000000" w:fill="BDD7EE"/>
            <w:noWrap/>
            <w:vAlign w:val="center"/>
            <w:hideMark/>
          </w:tcPr>
          <w:p w14:paraId="0543F992" w14:textId="77777777" w:rsidR="00231845" w:rsidRPr="00A421B9" w:rsidRDefault="00231845" w:rsidP="00231845">
            <w:pPr>
              <w:jc w:val="right"/>
              <w:rPr>
                <w:rFonts w:eastAsia="Times New Roman" w:cs="Calibri"/>
                <w:sz w:val="18"/>
                <w:szCs w:val="18"/>
              </w:rPr>
            </w:pPr>
            <w:r w:rsidRPr="00A421B9">
              <w:rPr>
                <w:rFonts w:eastAsia="Times New Roman" w:cs="Calibri"/>
                <w:sz w:val="18"/>
                <w:szCs w:val="18"/>
              </w:rPr>
              <w:t xml:space="preserve">   280,900.00 </w:t>
            </w:r>
          </w:p>
        </w:tc>
      </w:tr>
      <w:tr w:rsidR="006B283A" w:rsidRPr="00231845" w14:paraId="1CFFED1F" w14:textId="77777777" w:rsidTr="00231845">
        <w:trPr>
          <w:trHeight w:val="281"/>
        </w:trPr>
        <w:tc>
          <w:tcPr>
            <w:tcW w:w="1420" w:type="dxa"/>
            <w:tcBorders>
              <w:top w:val="nil"/>
              <w:left w:val="single" w:sz="8" w:space="0" w:color="auto"/>
              <w:bottom w:val="single" w:sz="8" w:space="0" w:color="auto"/>
              <w:right w:val="single" w:sz="4" w:space="0" w:color="auto"/>
            </w:tcBorders>
            <w:shd w:val="clear" w:color="auto" w:fill="auto"/>
            <w:vAlign w:val="center"/>
            <w:hideMark/>
          </w:tcPr>
          <w:p w14:paraId="32882B5B" w14:textId="77777777" w:rsidR="00231845" w:rsidRPr="00231845" w:rsidRDefault="00231845" w:rsidP="00231845">
            <w:pPr>
              <w:rPr>
                <w:rFonts w:eastAsia="Times New Roman" w:cs="Calibri"/>
                <w:b/>
                <w:bCs/>
                <w:i/>
                <w:iCs/>
                <w:color w:val="000000"/>
                <w:sz w:val="18"/>
                <w:szCs w:val="18"/>
              </w:rPr>
            </w:pPr>
            <w:r w:rsidRPr="00231845">
              <w:rPr>
                <w:rFonts w:eastAsia="Times New Roman" w:cs="Calibri"/>
                <w:b/>
                <w:bCs/>
                <w:i/>
                <w:iCs/>
                <w:color w:val="000000"/>
                <w:sz w:val="18"/>
                <w:szCs w:val="18"/>
              </w:rPr>
              <w:t>2nd year</w:t>
            </w:r>
          </w:p>
        </w:tc>
        <w:tc>
          <w:tcPr>
            <w:tcW w:w="1280" w:type="dxa"/>
            <w:tcBorders>
              <w:top w:val="nil"/>
              <w:left w:val="nil"/>
              <w:bottom w:val="single" w:sz="8" w:space="0" w:color="auto"/>
              <w:right w:val="single" w:sz="4" w:space="0" w:color="auto"/>
            </w:tcBorders>
            <w:shd w:val="clear" w:color="000000" w:fill="BDD7EE"/>
            <w:noWrap/>
            <w:vAlign w:val="center"/>
            <w:hideMark/>
          </w:tcPr>
          <w:p w14:paraId="2CF41B3A" w14:textId="77777777" w:rsidR="00231845" w:rsidRPr="00A421B9" w:rsidRDefault="00231845" w:rsidP="00231845">
            <w:pPr>
              <w:jc w:val="center"/>
              <w:rPr>
                <w:rFonts w:eastAsia="Times New Roman" w:cs="Calibri"/>
                <w:b/>
                <w:bCs/>
                <w:sz w:val="18"/>
                <w:szCs w:val="18"/>
              </w:rPr>
            </w:pPr>
            <w:r w:rsidRPr="00A421B9">
              <w:rPr>
                <w:rFonts w:eastAsia="Times New Roman" w:cs="Calibri"/>
                <w:b/>
                <w:bCs/>
                <w:sz w:val="18"/>
                <w:szCs w:val="18"/>
              </w:rPr>
              <w:t xml:space="preserve">  209,618.00 </w:t>
            </w:r>
          </w:p>
        </w:tc>
        <w:tc>
          <w:tcPr>
            <w:tcW w:w="1180" w:type="dxa"/>
            <w:tcBorders>
              <w:top w:val="nil"/>
              <w:left w:val="nil"/>
              <w:bottom w:val="single" w:sz="8" w:space="0" w:color="auto"/>
              <w:right w:val="single" w:sz="4" w:space="0" w:color="auto"/>
            </w:tcBorders>
            <w:shd w:val="clear" w:color="000000" w:fill="BDD7EE"/>
            <w:noWrap/>
            <w:vAlign w:val="center"/>
            <w:hideMark/>
          </w:tcPr>
          <w:p w14:paraId="2BC53964" w14:textId="77777777" w:rsidR="00231845" w:rsidRPr="00A421B9" w:rsidRDefault="00231845" w:rsidP="00231845">
            <w:pPr>
              <w:jc w:val="center"/>
              <w:rPr>
                <w:rFonts w:eastAsia="Times New Roman" w:cs="Calibri"/>
                <w:sz w:val="18"/>
                <w:szCs w:val="18"/>
              </w:rPr>
            </w:pPr>
            <w:r w:rsidRPr="00A421B9">
              <w:rPr>
                <w:rFonts w:eastAsia="Times New Roman" w:cs="Calibri"/>
                <w:sz w:val="18"/>
                <w:szCs w:val="18"/>
              </w:rPr>
              <w:t xml:space="preserve">   200,000.00 </w:t>
            </w:r>
          </w:p>
        </w:tc>
        <w:tc>
          <w:tcPr>
            <w:tcW w:w="1280" w:type="dxa"/>
            <w:tcBorders>
              <w:top w:val="nil"/>
              <w:left w:val="nil"/>
              <w:bottom w:val="single" w:sz="8" w:space="0" w:color="auto"/>
              <w:right w:val="single" w:sz="4" w:space="0" w:color="auto"/>
            </w:tcBorders>
            <w:shd w:val="clear" w:color="000000" w:fill="BDD7EE"/>
            <w:noWrap/>
            <w:vAlign w:val="center"/>
            <w:hideMark/>
          </w:tcPr>
          <w:p w14:paraId="48378972" w14:textId="77777777" w:rsidR="00231845" w:rsidRPr="00A421B9" w:rsidRDefault="00231845" w:rsidP="00231845">
            <w:pPr>
              <w:jc w:val="center"/>
              <w:rPr>
                <w:rFonts w:eastAsia="Times New Roman" w:cs="Calibri"/>
                <w:b/>
                <w:bCs/>
                <w:sz w:val="18"/>
                <w:szCs w:val="18"/>
              </w:rPr>
            </w:pPr>
            <w:r w:rsidRPr="00A421B9">
              <w:rPr>
                <w:rFonts w:eastAsia="Times New Roman" w:cs="Calibri"/>
                <w:b/>
                <w:bCs/>
                <w:sz w:val="18"/>
                <w:szCs w:val="18"/>
              </w:rPr>
              <w:t xml:space="preserve">  155,360.00 </w:t>
            </w:r>
          </w:p>
        </w:tc>
        <w:tc>
          <w:tcPr>
            <w:tcW w:w="1075" w:type="dxa"/>
            <w:tcBorders>
              <w:top w:val="nil"/>
              <w:left w:val="nil"/>
              <w:bottom w:val="single" w:sz="8" w:space="0" w:color="auto"/>
              <w:right w:val="single" w:sz="4" w:space="0" w:color="auto"/>
            </w:tcBorders>
            <w:shd w:val="clear" w:color="000000" w:fill="BDD7EE"/>
            <w:noWrap/>
            <w:vAlign w:val="center"/>
            <w:hideMark/>
          </w:tcPr>
          <w:p w14:paraId="15A0A545" w14:textId="77777777" w:rsidR="00231845" w:rsidRPr="00A421B9" w:rsidRDefault="00231845" w:rsidP="00231845">
            <w:pPr>
              <w:jc w:val="center"/>
              <w:rPr>
                <w:rFonts w:eastAsia="Times New Roman" w:cs="Calibri"/>
                <w:sz w:val="18"/>
                <w:szCs w:val="18"/>
              </w:rPr>
            </w:pPr>
            <w:r w:rsidRPr="00A421B9">
              <w:rPr>
                <w:rFonts w:eastAsia="Times New Roman" w:cs="Calibri"/>
                <w:sz w:val="18"/>
                <w:szCs w:val="18"/>
              </w:rPr>
              <w:t xml:space="preserve">      20,000.00 </w:t>
            </w:r>
          </w:p>
        </w:tc>
        <w:tc>
          <w:tcPr>
            <w:tcW w:w="1280" w:type="dxa"/>
            <w:tcBorders>
              <w:top w:val="nil"/>
              <w:left w:val="nil"/>
              <w:bottom w:val="single" w:sz="8" w:space="0" w:color="auto"/>
              <w:right w:val="single" w:sz="4" w:space="0" w:color="auto"/>
            </w:tcBorders>
            <w:shd w:val="clear" w:color="000000" w:fill="BDD7EE"/>
            <w:noWrap/>
            <w:vAlign w:val="center"/>
            <w:hideMark/>
          </w:tcPr>
          <w:p w14:paraId="4EF10D26" w14:textId="77777777" w:rsidR="00231845" w:rsidRPr="00A421B9" w:rsidRDefault="00231845" w:rsidP="00231845">
            <w:pPr>
              <w:jc w:val="center"/>
              <w:rPr>
                <w:rFonts w:eastAsia="Times New Roman" w:cs="Calibri"/>
                <w:b/>
                <w:bCs/>
                <w:sz w:val="18"/>
                <w:szCs w:val="18"/>
              </w:rPr>
            </w:pPr>
            <w:r w:rsidRPr="00A421B9">
              <w:rPr>
                <w:rFonts w:eastAsia="Times New Roman" w:cs="Calibri"/>
                <w:b/>
                <w:bCs/>
                <w:sz w:val="18"/>
                <w:szCs w:val="18"/>
              </w:rPr>
              <w:t xml:space="preserve">  100,839.00 </w:t>
            </w:r>
          </w:p>
        </w:tc>
        <w:tc>
          <w:tcPr>
            <w:tcW w:w="1075" w:type="dxa"/>
            <w:tcBorders>
              <w:top w:val="nil"/>
              <w:left w:val="nil"/>
              <w:bottom w:val="single" w:sz="8" w:space="0" w:color="auto"/>
              <w:right w:val="single" w:sz="4" w:space="0" w:color="auto"/>
            </w:tcBorders>
            <w:shd w:val="clear" w:color="000000" w:fill="BDD7EE"/>
            <w:noWrap/>
            <w:vAlign w:val="center"/>
            <w:hideMark/>
          </w:tcPr>
          <w:p w14:paraId="109256C8" w14:textId="77777777" w:rsidR="00231845" w:rsidRPr="00A421B9" w:rsidRDefault="00231845" w:rsidP="00231845">
            <w:pPr>
              <w:jc w:val="center"/>
              <w:rPr>
                <w:rFonts w:eastAsia="Times New Roman" w:cs="Calibri"/>
                <w:sz w:val="18"/>
                <w:szCs w:val="18"/>
              </w:rPr>
            </w:pPr>
            <w:r w:rsidRPr="00A421B9">
              <w:rPr>
                <w:rFonts w:eastAsia="Times New Roman" w:cs="Calibri"/>
                <w:sz w:val="18"/>
                <w:szCs w:val="18"/>
              </w:rPr>
              <w:t xml:space="preserve">     25,000.00 </w:t>
            </w:r>
          </w:p>
        </w:tc>
        <w:tc>
          <w:tcPr>
            <w:tcW w:w="1280" w:type="dxa"/>
            <w:tcBorders>
              <w:top w:val="nil"/>
              <w:left w:val="nil"/>
              <w:bottom w:val="single" w:sz="8" w:space="0" w:color="auto"/>
              <w:right w:val="single" w:sz="4" w:space="0" w:color="auto"/>
            </w:tcBorders>
            <w:shd w:val="clear" w:color="000000" w:fill="BDD7EE"/>
            <w:noWrap/>
            <w:vAlign w:val="center"/>
            <w:hideMark/>
          </w:tcPr>
          <w:p w14:paraId="5917E051" w14:textId="77777777" w:rsidR="00231845" w:rsidRPr="00A421B9" w:rsidRDefault="00231845" w:rsidP="00231845">
            <w:pPr>
              <w:jc w:val="center"/>
              <w:rPr>
                <w:rFonts w:eastAsia="Times New Roman" w:cs="Calibri"/>
                <w:b/>
                <w:bCs/>
                <w:sz w:val="18"/>
                <w:szCs w:val="18"/>
              </w:rPr>
            </w:pPr>
            <w:r w:rsidRPr="00A421B9">
              <w:rPr>
                <w:rFonts w:eastAsia="Times New Roman" w:cs="Calibri"/>
                <w:b/>
                <w:bCs/>
                <w:sz w:val="18"/>
                <w:szCs w:val="18"/>
              </w:rPr>
              <w:t> </w:t>
            </w:r>
          </w:p>
        </w:tc>
        <w:tc>
          <w:tcPr>
            <w:tcW w:w="1075" w:type="dxa"/>
            <w:tcBorders>
              <w:top w:val="nil"/>
              <w:left w:val="nil"/>
              <w:bottom w:val="single" w:sz="8" w:space="0" w:color="auto"/>
              <w:right w:val="single" w:sz="4" w:space="0" w:color="auto"/>
            </w:tcBorders>
            <w:shd w:val="clear" w:color="000000" w:fill="BDD7EE"/>
            <w:noWrap/>
            <w:vAlign w:val="center"/>
            <w:hideMark/>
          </w:tcPr>
          <w:p w14:paraId="04055CF8" w14:textId="77777777" w:rsidR="00231845" w:rsidRPr="00A421B9" w:rsidRDefault="00231845" w:rsidP="00231845">
            <w:pPr>
              <w:jc w:val="center"/>
              <w:rPr>
                <w:rFonts w:eastAsia="Times New Roman" w:cs="Calibri"/>
                <w:sz w:val="18"/>
                <w:szCs w:val="18"/>
              </w:rPr>
            </w:pPr>
            <w:r w:rsidRPr="00A421B9">
              <w:rPr>
                <w:rFonts w:eastAsia="Times New Roman" w:cs="Calibri"/>
                <w:sz w:val="18"/>
                <w:szCs w:val="18"/>
              </w:rPr>
              <w:t xml:space="preserve">     15,000.00 </w:t>
            </w:r>
          </w:p>
        </w:tc>
        <w:tc>
          <w:tcPr>
            <w:tcW w:w="1280" w:type="dxa"/>
            <w:tcBorders>
              <w:top w:val="nil"/>
              <w:left w:val="nil"/>
              <w:bottom w:val="single" w:sz="8" w:space="0" w:color="auto"/>
              <w:right w:val="single" w:sz="4" w:space="0" w:color="auto"/>
            </w:tcBorders>
            <w:shd w:val="clear" w:color="000000" w:fill="BDD7EE"/>
            <w:noWrap/>
            <w:vAlign w:val="center"/>
            <w:hideMark/>
          </w:tcPr>
          <w:p w14:paraId="5CCC4BE4" w14:textId="77777777" w:rsidR="00231845" w:rsidRPr="00A421B9" w:rsidRDefault="00231845" w:rsidP="00231845">
            <w:pPr>
              <w:jc w:val="center"/>
              <w:rPr>
                <w:rFonts w:eastAsia="Times New Roman" w:cs="Calibri"/>
                <w:b/>
                <w:bCs/>
                <w:sz w:val="18"/>
                <w:szCs w:val="18"/>
              </w:rPr>
            </w:pPr>
            <w:r w:rsidRPr="00A421B9">
              <w:rPr>
                <w:rFonts w:eastAsia="Times New Roman" w:cs="Calibri"/>
                <w:b/>
                <w:bCs/>
                <w:sz w:val="18"/>
                <w:szCs w:val="18"/>
              </w:rPr>
              <w:t xml:space="preserve">  465,817.00 </w:t>
            </w:r>
          </w:p>
        </w:tc>
        <w:tc>
          <w:tcPr>
            <w:tcW w:w="1095" w:type="dxa"/>
            <w:tcBorders>
              <w:top w:val="nil"/>
              <w:left w:val="nil"/>
              <w:bottom w:val="single" w:sz="8" w:space="0" w:color="auto"/>
              <w:right w:val="single" w:sz="8" w:space="0" w:color="auto"/>
            </w:tcBorders>
            <w:shd w:val="clear" w:color="000000" w:fill="BDD7EE"/>
            <w:noWrap/>
            <w:vAlign w:val="center"/>
            <w:hideMark/>
          </w:tcPr>
          <w:p w14:paraId="248853B4" w14:textId="77777777" w:rsidR="00231845" w:rsidRPr="00A421B9" w:rsidRDefault="00231845" w:rsidP="00231845">
            <w:pPr>
              <w:jc w:val="right"/>
              <w:rPr>
                <w:rFonts w:eastAsia="Times New Roman" w:cs="Calibri"/>
                <w:sz w:val="18"/>
                <w:szCs w:val="18"/>
              </w:rPr>
            </w:pPr>
            <w:r w:rsidRPr="00A421B9">
              <w:rPr>
                <w:rFonts w:eastAsia="Times New Roman" w:cs="Calibri"/>
                <w:sz w:val="18"/>
                <w:szCs w:val="18"/>
              </w:rPr>
              <w:t xml:space="preserve">   260,000.00 </w:t>
            </w:r>
          </w:p>
        </w:tc>
      </w:tr>
    </w:tbl>
    <w:p w14:paraId="30E63EFE" w14:textId="310E3389" w:rsidR="008B02D0" w:rsidRPr="00CD3D9C" w:rsidRDefault="00CC23C7" w:rsidP="001134F6">
      <w:pPr>
        <w:rPr>
          <w:rFonts w:eastAsia="Times New Roman"/>
          <w:b/>
          <w:bCs/>
          <w:color w:val="0070C0"/>
          <w:szCs w:val="20"/>
          <w:u w:val="single"/>
          <w:lang w:eastAsia="en-GB"/>
        </w:rPr>
      </w:pPr>
      <w:r w:rsidRPr="00CD3D9C">
        <w:rPr>
          <w:rFonts w:eastAsia="Times New Roman"/>
          <w:b/>
          <w:bCs/>
          <w:color w:val="0070C0"/>
          <w:szCs w:val="20"/>
          <w:u w:val="single"/>
          <w:lang w:eastAsia="en-GB"/>
        </w:rPr>
        <w:t>4</w:t>
      </w:r>
      <w:r w:rsidR="00081CE7" w:rsidRPr="00CD3D9C">
        <w:rPr>
          <w:rFonts w:eastAsia="Times New Roman"/>
          <w:b/>
          <w:bCs/>
          <w:color w:val="0070C0"/>
          <w:szCs w:val="20"/>
          <w:u w:val="single"/>
          <w:lang w:eastAsia="en-GB"/>
        </w:rPr>
        <w:t>.2</w:t>
      </w:r>
      <w:r w:rsidR="008B02D0" w:rsidRPr="00CD3D9C">
        <w:rPr>
          <w:rFonts w:eastAsia="Times New Roman"/>
          <w:b/>
          <w:bCs/>
          <w:color w:val="0070C0"/>
          <w:szCs w:val="20"/>
          <w:u w:val="single"/>
          <w:lang w:eastAsia="en-GB"/>
        </w:rPr>
        <w:t xml:space="preserve"> Budget per SDG targets</w:t>
      </w:r>
    </w:p>
    <w:p w14:paraId="72EA1F59" w14:textId="77777777" w:rsidR="00F03B92" w:rsidRDefault="00F03B92" w:rsidP="003C716A">
      <w:pPr>
        <w:jc w:val="both"/>
        <w:rPr>
          <w:szCs w:val="20"/>
        </w:rPr>
      </w:pPr>
    </w:p>
    <w:p w14:paraId="3B507325" w14:textId="76FD0FFB" w:rsidR="003A114B" w:rsidRDefault="000F0BDA" w:rsidP="003C716A">
      <w:pPr>
        <w:jc w:val="both"/>
        <w:rPr>
          <w:szCs w:val="20"/>
        </w:rPr>
      </w:pPr>
      <w:r w:rsidRPr="00CD3D9C">
        <w:rPr>
          <w:szCs w:val="20"/>
        </w:rPr>
        <w:t xml:space="preserve">The overall goal </w:t>
      </w:r>
      <w:r>
        <w:rPr>
          <w:szCs w:val="20"/>
        </w:rPr>
        <w:t xml:space="preserve">of the JP </w:t>
      </w:r>
      <w:r w:rsidRPr="00CD3D9C">
        <w:rPr>
          <w:szCs w:val="20"/>
        </w:rPr>
        <w:t>is that the population benefits from increased climate resilience and quality and equitable social services. The JP aims to increase the likelihood of Maldives achieving SDG targets relevant to climate action (Goal</w:t>
      </w:r>
      <w:r>
        <w:rPr>
          <w:szCs w:val="20"/>
        </w:rPr>
        <w:t>s</w:t>
      </w:r>
      <w:r w:rsidRPr="00CD3D9C">
        <w:rPr>
          <w:szCs w:val="20"/>
        </w:rPr>
        <w:t xml:space="preserve"> 2, 6, 7, 11, 14, 15) and social services (Goal</w:t>
      </w:r>
      <w:r>
        <w:rPr>
          <w:szCs w:val="20"/>
        </w:rPr>
        <w:t>s</w:t>
      </w:r>
      <w:r w:rsidRPr="00CD3D9C">
        <w:rPr>
          <w:szCs w:val="20"/>
        </w:rPr>
        <w:t xml:space="preserve"> 2, 3, 4, 5, 7, 10).</w:t>
      </w:r>
      <w:r>
        <w:rPr>
          <w:szCs w:val="20"/>
        </w:rPr>
        <w:t xml:space="preserve"> The JP interventions will however specifically contribute to </w:t>
      </w:r>
      <w:r w:rsidR="0054165D">
        <w:rPr>
          <w:szCs w:val="20"/>
        </w:rPr>
        <w:t>targets outlined in the table below. Output 1.2, 2.1 and 2.2 focus on reforming the social sector service delivery. The proposed activities will directly contribute to Target 1.b as the priority is to undertake the costing, to develop the financing strategy and implement financing reforms to make the social sector service delivery gender responsive, more equitable and sustainable. The same outputs also integrate a core health financing component which will contribute to Target 3.8. The development of the National Integrated Financing Strategy (Output 2.1) using reliable cost estimates (Output 1.1) and the operationalization of the INFF process through a full-fledged INFF committee (Output 3.1) is expected to contribute to the SDG target 17.3. Similarly, the Outputs 3.1 and 3.2 on strengthening the institutional capacity of public and private dialogue and engagement will directly contribute to SDG target 17.17.</w:t>
      </w:r>
    </w:p>
    <w:p w14:paraId="4962A9F7" w14:textId="77777777" w:rsidR="003E65C1" w:rsidRPr="003C716A" w:rsidRDefault="003E65C1" w:rsidP="003C716A">
      <w:pPr>
        <w:jc w:val="both"/>
        <w:rPr>
          <w:szCs w:val="20"/>
        </w:rPr>
      </w:pPr>
    </w:p>
    <w:tbl>
      <w:tblPr>
        <w:tblW w:w="12786" w:type="dxa"/>
        <w:tblLook w:val="04A0" w:firstRow="1" w:lastRow="0" w:firstColumn="1" w:lastColumn="0" w:noHBand="0" w:noVBand="1"/>
      </w:tblPr>
      <w:tblGrid>
        <w:gridCol w:w="669"/>
        <w:gridCol w:w="8569"/>
        <w:gridCol w:w="1505"/>
        <w:gridCol w:w="2043"/>
      </w:tblGrid>
      <w:tr w:rsidR="00E21FE7" w:rsidRPr="00E21FE7" w14:paraId="52562074" w14:textId="77777777" w:rsidTr="003E65C1">
        <w:trPr>
          <w:trHeight w:val="435"/>
        </w:trPr>
        <w:tc>
          <w:tcPr>
            <w:tcW w:w="9238" w:type="dxa"/>
            <w:gridSpan w:val="2"/>
            <w:tcBorders>
              <w:top w:val="single" w:sz="8" w:space="0" w:color="auto"/>
              <w:left w:val="single" w:sz="8" w:space="0" w:color="auto"/>
              <w:bottom w:val="single" w:sz="8" w:space="0" w:color="auto"/>
              <w:right w:val="single" w:sz="4" w:space="0" w:color="000000"/>
            </w:tcBorders>
            <w:shd w:val="clear" w:color="000000" w:fill="0070C0"/>
            <w:vAlign w:val="center"/>
            <w:hideMark/>
          </w:tcPr>
          <w:p w14:paraId="0BE5F88B" w14:textId="77777777" w:rsidR="00E21FE7" w:rsidRPr="00E21FE7" w:rsidRDefault="00E21FE7" w:rsidP="00E21FE7">
            <w:pPr>
              <w:jc w:val="center"/>
              <w:rPr>
                <w:rFonts w:eastAsia="Times New Roman" w:cs="Calibri"/>
                <w:b/>
                <w:bCs/>
                <w:color w:val="FFFFFF"/>
                <w:szCs w:val="20"/>
              </w:rPr>
            </w:pPr>
            <w:r w:rsidRPr="00E21FE7">
              <w:rPr>
                <w:rFonts w:eastAsia="Times New Roman" w:cs="Calibri"/>
                <w:b/>
                <w:bCs/>
                <w:color w:val="FFFFFF"/>
                <w:szCs w:val="20"/>
              </w:rPr>
              <w:t>SDG TARGETS</w:t>
            </w:r>
          </w:p>
        </w:tc>
        <w:tc>
          <w:tcPr>
            <w:tcW w:w="1505" w:type="dxa"/>
            <w:tcBorders>
              <w:top w:val="single" w:sz="8" w:space="0" w:color="auto"/>
              <w:left w:val="nil"/>
              <w:bottom w:val="single" w:sz="8" w:space="0" w:color="auto"/>
              <w:right w:val="single" w:sz="4" w:space="0" w:color="auto"/>
            </w:tcBorders>
            <w:shd w:val="clear" w:color="000000" w:fill="2F75B5"/>
            <w:vAlign w:val="center"/>
            <w:hideMark/>
          </w:tcPr>
          <w:p w14:paraId="107C9E8D" w14:textId="77777777" w:rsidR="00E21FE7" w:rsidRPr="00E21FE7" w:rsidRDefault="00E21FE7" w:rsidP="00E21FE7">
            <w:pPr>
              <w:jc w:val="center"/>
              <w:rPr>
                <w:rFonts w:eastAsia="Times New Roman" w:cs="Calibri"/>
                <w:b/>
                <w:bCs/>
                <w:color w:val="FFFFFF"/>
                <w:sz w:val="18"/>
                <w:szCs w:val="18"/>
              </w:rPr>
            </w:pPr>
            <w:r w:rsidRPr="00E21FE7">
              <w:rPr>
                <w:rFonts w:eastAsia="Times New Roman" w:cs="Calibri"/>
                <w:b/>
                <w:bCs/>
                <w:color w:val="FFFFFF"/>
                <w:sz w:val="18"/>
                <w:szCs w:val="18"/>
              </w:rPr>
              <w:t>%</w:t>
            </w:r>
          </w:p>
        </w:tc>
        <w:tc>
          <w:tcPr>
            <w:tcW w:w="2043" w:type="dxa"/>
            <w:tcBorders>
              <w:top w:val="single" w:sz="8" w:space="0" w:color="auto"/>
              <w:left w:val="nil"/>
              <w:bottom w:val="single" w:sz="8" w:space="0" w:color="auto"/>
              <w:right w:val="single" w:sz="8" w:space="0" w:color="auto"/>
            </w:tcBorders>
            <w:shd w:val="clear" w:color="000000" w:fill="2F75B5"/>
            <w:vAlign w:val="center"/>
            <w:hideMark/>
          </w:tcPr>
          <w:p w14:paraId="17DB4797" w14:textId="77777777" w:rsidR="00E21FE7" w:rsidRPr="00E21FE7" w:rsidRDefault="00E21FE7" w:rsidP="00E21FE7">
            <w:pPr>
              <w:jc w:val="center"/>
              <w:rPr>
                <w:rFonts w:eastAsia="Times New Roman" w:cs="Calibri"/>
                <w:b/>
                <w:bCs/>
                <w:color w:val="FFFFFF"/>
                <w:sz w:val="18"/>
                <w:szCs w:val="18"/>
              </w:rPr>
            </w:pPr>
            <w:r w:rsidRPr="00E21FE7">
              <w:rPr>
                <w:rFonts w:eastAsia="Times New Roman" w:cs="Calibri"/>
                <w:b/>
                <w:bCs/>
                <w:color w:val="FFFFFF"/>
                <w:sz w:val="18"/>
                <w:szCs w:val="18"/>
              </w:rPr>
              <w:t>USD</w:t>
            </w:r>
          </w:p>
        </w:tc>
      </w:tr>
      <w:tr w:rsidR="00E21FE7" w:rsidRPr="00E21FE7" w14:paraId="74DD4E4A" w14:textId="77777777" w:rsidTr="003E65C1">
        <w:trPr>
          <w:trHeight w:val="900"/>
        </w:trPr>
        <w:tc>
          <w:tcPr>
            <w:tcW w:w="669" w:type="dxa"/>
            <w:tcBorders>
              <w:top w:val="nil"/>
              <w:left w:val="single" w:sz="8" w:space="0" w:color="auto"/>
              <w:bottom w:val="single" w:sz="4" w:space="0" w:color="auto"/>
              <w:right w:val="single" w:sz="4" w:space="0" w:color="auto"/>
            </w:tcBorders>
            <w:shd w:val="clear" w:color="auto" w:fill="auto"/>
            <w:vAlign w:val="center"/>
            <w:hideMark/>
          </w:tcPr>
          <w:p w14:paraId="4D27EF9C" w14:textId="77777777" w:rsidR="00E21FE7" w:rsidRPr="00E21FE7" w:rsidRDefault="00E21FE7" w:rsidP="00E21FE7">
            <w:pPr>
              <w:jc w:val="center"/>
              <w:rPr>
                <w:rFonts w:eastAsia="Times New Roman" w:cs="Calibri"/>
                <w:color w:val="000000"/>
                <w:sz w:val="16"/>
                <w:szCs w:val="16"/>
              </w:rPr>
            </w:pPr>
            <w:r w:rsidRPr="00E21FE7">
              <w:rPr>
                <w:rFonts w:eastAsia="Times New Roman" w:cs="Calibri"/>
                <w:color w:val="000000"/>
                <w:sz w:val="16"/>
                <w:szCs w:val="16"/>
              </w:rPr>
              <w:t> </w:t>
            </w:r>
          </w:p>
        </w:tc>
        <w:tc>
          <w:tcPr>
            <w:tcW w:w="8569" w:type="dxa"/>
            <w:tcBorders>
              <w:top w:val="nil"/>
              <w:left w:val="nil"/>
              <w:bottom w:val="single" w:sz="4" w:space="0" w:color="auto"/>
              <w:right w:val="single" w:sz="4" w:space="0" w:color="auto"/>
            </w:tcBorders>
            <w:shd w:val="clear" w:color="000000" w:fill="FFFFFF"/>
            <w:vAlign w:val="center"/>
            <w:hideMark/>
          </w:tcPr>
          <w:p w14:paraId="10201BFA" w14:textId="77777777" w:rsidR="00E21FE7" w:rsidRPr="00E21FE7" w:rsidRDefault="00E21FE7" w:rsidP="00E21FE7">
            <w:pPr>
              <w:jc w:val="center"/>
              <w:rPr>
                <w:rFonts w:eastAsia="Times New Roman" w:cs="Calibri"/>
                <w:color w:val="000000"/>
                <w:sz w:val="18"/>
                <w:szCs w:val="18"/>
              </w:rPr>
            </w:pPr>
            <w:r w:rsidRPr="00E21FE7">
              <w:rPr>
                <w:rFonts w:eastAsia="Times New Roman" w:cs="Calibri"/>
                <w:color w:val="000000"/>
                <w:sz w:val="18"/>
                <w:szCs w:val="18"/>
              </w:rPr>
              <w:t>Target 1.b Indicator: Proportion of government recurrent and capital spending going to sectors that disproportionately benefit women, poor and vulnerable groups</w:t>
            </w:r>
          </w:p>
        </w:tc>
        <w:tc>
          <w:tcPr>
            <w:tcW w:w="1505" w:type="dxa"/>
            <w:tcBorders>
              <w:top w:val="nil"/>
              <w:left w:val="nil"/>
              <w:bottom w:val="single" w:sz="4" w:space="0" w:color="auto"/>
              <w:right w:val="single" w:sz="4" w:space="0" w:color="auto"/>
            </w:tcBorders>
            <w:shd w:val="clear" w:color="000000" w:fill="FFFFFF"/>
            <w:vAlign w:val="center"/>
            <w:hideMark/>
          </w:tcPr>
          <w:p w14:paraId="3ADDF34D" w14:textId="77777777" w:rsidR="00E21FE7" w:rsidRPr="00E21FE7" w:rsidRDefault="00E21FE7" w:rsidP="00E21FE7">
            <w:pPr>
              <w:jc w:val="center"/>
              <w:rPr>
                <w:rFonts w:eastAsia="Times New Roman" w:cs="Calibri"/>
                <w:color w:val="000000"/>
                <w:sz w:val="16"/>
                <w:szCs w:val="16"/>
              </w:rPr>
            </w:pPr>
            <w:r w:rsidRPr="00E21FE7">
              <w:rPr>
                <w:rFonts w:eastAsia="Times New Roman" w:cs="Calibri"/>
                <w:color w:val="000000"/>
                <w:sz w:val="16"/>
                <w:szCs w:val="16"/>
              </w:rPr>
              <w:t xml:space="preserve">38 </w:t>
            </w:r>
          </w:p>
        </w:tc>
        <w:tc>
          <w:tcPr>
            <w:tcW w:w="2043" w:type="dxa"/>
            <w:tcBorders>
              <w:top w:val="nil"/>
              <w:left w:val="nil"/>
              <w:bottom w:val="single" w:sz="4" w:space="0" w:color="auto"/>
              <w:right w:val="single" w:sz="8" w:space="0" w:color="auto"/>
            </w:tcBorders>
            <w:shd w:val="clear" w:color="000000" w:fill="FFFFFF"/>
            <w:vAlign w:val="center"/>
            <w:hideMark/>
          </w:tcPr>
          <w:p w14:paraId="6FCBB4A0" w14:textId="77777777" w:rsidR="00E21FE7" w:rsidRPr="00E21FE7" w:rsidRDefault="00E21FE7" w:rsidP="00E21FE7">
            <w:pPr>
              <w:jc w:val="center"/>
              <w:rPr>
                <w:rFonts w:eastAsia="Times New Roman" w:cs="Calibri"/>
                <w:color w:val="000000"/>
                <w:sz w:val="16"/>
                <w:szCs w:val="16"/>
              </w:rPr>
            </w:pPr>
            <w:r w:rsidRPr="00E21FE7">
              <w:rPr>
                <w:rFonts w:eastAsia="Times New Roman" w:cs="Calibri"/>
                <w:color w:val="000000"/>
                <w:sz w:val="16"/>
                <w:szCs w:val="16"/>
              </w:rPr>
              <w:t xml:space="preserve">550,334 </w:t>
            </w:r>
          </w:p>
        </w:tc>
      </w:tr>
      <w:tr w:rsidR="00E21FE7" w:rsidRPr="00E21FE7" w14:paraId="151B3271" w14:textId="77777777" w:rsidTr="003E65C1">
        <w:trPr>
          <w:trHeight w:val="1125"/>
        </w:trPr>
        <w:tc>
          <w:tcPr>
            <w:tcW w:w="669" w:type="dxa"/>
            <w:tcBorders>
              <w:top w:val="nil"/>
              <w:left w:val="single" w:sz="8" w:space="0" w:color="auto"/>
              <w:bottom w:val="single" w:sz="4" w:space="0" w:color="auto"/>
              <w:right w:val="single" w:sz="4" w:space="0" w:color="auto"/>
            </w:tcBorders>
            <w:shd w:val="clear" w:color="auto" w:fill="auto"/>
            <w:vAlign w:val="center"/>
            <w:hideMark/>
          </w:tcPr>
          <w:p w14:paraId="691169F0" w14:textId="77777777" w:rsidR="00E21FE7" w:rsidRPr="00E21FE7" w:rsidRDefault="00E21FE7" w:rsidP="00E21FE7">
            <w:pPr>
              <w:jc w:val="center"/>
              <w:rPr>
                <w:rFonts w:eastAsia="Times New Roman" w:cs="Calibri"/>
                <w:color w:val="000000"/>
                <w:sz w:val="16"/>
                <w:szCs w:val="16"/>
              </w:rPr>
            </w:pPr>
            <w:r w:rsidRPr="00E21FE7">
              <w:rPr>
                <w:rFonts w:eastAsia="Times New Roman" w:cs="Calibri"/>
                <w:color w:val="000000"/>
                <w:sz w:val="16"/>
                <w:szCs w:val="16"/>
              </w:rPr>
              <w:t> </w:t>
            </w:r>
          </w:p>
        </w:tc>
        <w:tc>
          <w:tcPr>
            <w:tcW w:w="8569" w:type="dxa"/>
            <w:tcBorders>
              <w:top w:val="nil"/>
              <w:left w:val="nil"/>
              <w:bottom w:val="single" w:sz="4" w:space="0" w:color="auto"/>
              <w:right w:val="single" w:sz="4" w:space="0" w:color="auto"/>
            </w:tcBorders>
            <w:shd w:val="clear" w:color="000000" w:fill="FFFFFF"/>
            <w:vAlign w:val="center"/>
            <w:hideMark/>
          </w:tcPr>
          <w:p w14:paraId="5C19FC2B" w14:textId="77777777" w:rsidR="00E21FE7" w:rsidRPr="00E21FE7" w:rsidRDefault="00E21FE7" w:rsidP="00E21FE7">
            <w:pPr>
              <w:jc w:val="center"/>
              <w:rPr>
                <w:rFonts w:eastAsia="Times New Roman" w:cs="Calibri"/>
                <w:color w:val="000000"/>
                <w:sz w:val="18"/>
                <w:szCs w:val="18"/>
              </w:rPr>
            </w:pPr>
            <w:r w:rsidRPr="00E21FE7">
              <w:rPr>
                <w:rFonts w:eastAsia="Times New Roman" w:cs="Calibri"/>
                <w:color w:val="000000"/>
                <w:sz w:val="18"/>
                <w:szCs w:val="18"/>
              </w:rPr>
              <w:t>Target 3.8 Achieve universal health coverage, including financial risk protection, access to quality essential health-care services and access to safe, effective, quality and affordable essential medicines and vaccines for all</w:t>
            </w:r>
          </w:p>
        </w:tc>
        <w:tc>
          <w:tcPr>
            <w:tcW w:w="1505" w:type="dxa"/>
            <w:tcBorders>
              <w:top w:val="nil"/>
              <w:left w:val="nil"/>
              <w:bottom w:val="single" w:sz="4" w:space="0" w:color="auto"/>
              <w:right w:val="single" w:sz="4" w:space="0" w:color="auto"/>
            </w:tcBorders>
            <w:shd w:val="clear" w:color="000000" w:fill="FFFFFF"/>
            <w:vAlign w:val="center"/>
            <w:hideMark/>
          </w:tcPr>
          <w:p w14:paraId="6BEBF19C" w14:textId="77777777" w:rsidR="00E21FE7" w:rsidRPr="00E21FE7" w:rsidRDefault="00E21FE7" w:rsidP="00E21FE7">
            <w:pPr>
              <w:jc w:val="center"/>
              <w:rPr>
                <w:rFonts w:eastAsia="Times New Roman" w:cs="Calibri"/>
                <w:color w:val="000000"/>
                <w:sz w:val="16"/>
                <w:szCs w:val="16"/>
              </w:rPr>
            </w:pPr>
            <w:r w:rsidRPr="00E21FE7">
              <w:rPr>
                <w:rFonts w:eastAsia="Times New Roman" w:cs="Calibri"/>
                <w:color w:val="000000"/>
                <w:sz w:val="16"/>
                <w:szCs w:val="16"/>
              </w:rPr>
              <w:t xml:space="preserve">17 </w:t>
            </w:r>
          </w:p>
        </w:tc>
        <w:tc>
          <w:tcPr>
            <w:tcW w:w="2043" w:type="dxa"/>
            <w:tcBorders>
              <w:top w:val="nil"/>
              <w:left w:val="nil"/>
              <w:bottom w:val="single" w:sz="4" w:space="0" w:color="auto"/>
              <w:right w:val="single" w:sz="8" w:space="0" w:color="auto"/>
            </w:tcBorders>
            <w:shd w:val="clear" w:color="000000" w:fill="FFFFFF"/>
            <w:vAlign w:val="center"/>
            <w:hideMark/>
          </w:tcPr>
          <w:p w14:paraId="55A0CE67" w14:textId="77777777" w:rsidR="00E21FE7" w:rsidRPr="00E21FE7" w:rsidRDefault="00E21FE7" w:rsidP="00E21FE7">
            <w:pPr>
              <w:jc w:val="center"/>
              <w:rPr>
                <w:rFonts w:eastAsia="Times New Roman" w:cs="Calibri"/>
                <w:color w:val="000000"/>
                <w:sz w:val="16"/>
                <w:szCs w:val="16"/>
              </w:rPr>
            </w:pPr>
            <w:r w:rsidRPr="00E21FE7">
              <w:rPr>
                <w:rFonts w:eastAsia="Times New Roman" w:cs="Calibri"/>
                <w:color w:val="000000"/>
                <w:sz w:val="16"/>
                <w:szCs w:val="16"/>
              </w:rPr>
              <w:t xml:space="preserve">243,794 </w:t>
            </w:r>
          </w:p>
        </w:tc>
      </w:tr>
      <w:tr w:rsidR="00E21FE7" w:rsidRPr="00E21FE7" w14:paraId="398B4528" w14:textId="77777777" w:rsidTr="003E65C1">
        <w:trPr>
          <w:trHeight w:val="1097"/>
        </w:trPr>
        <w:tc>
          <w:tcPr>
            <w:tcW w:w="669" w:type="dxa"/>
            <w:tcBorders>
              <w:top w:val="nil"/>
              <w:left w:val="single" w:sz="8" w:space="0" w:color="auto"/>
              <w:bottom w:val="single" w:sz="4" w:space="0" w:color="auto"/>
              <w:right w:val="single" w:sz="4" w:space="0" w:color="auto"/>
            </w:tcBorders>
            <w:shd w:val="clear" w:color="auto" w:fill="auto"/>
            <w:vAlign w:val="center"/>
            <w:hideMark/>
          </w:tcPr>
          <w:p w14:paraId="4F6AD78A" w14:textId="77777777" w:rsidR="00E21FE7" w:rsidRPr="00E21FE7" w:rsidRDefault="00E21FE7" w:rsidP="00E21FE7">
            <w:pPr>
              <w:jc w:val="center"/>
              <w:rPr>
                <w:rFonts w:eastAsia="Times New Roman" w:cs="Calibri"/>
                <w:color w:val="000000"/>
                <w:sz w:val="16"/>
                <w:szCs w:val="16"/>
              </w:rPr>
            </w:pPr>
            <w:r w:rsidRPr="00E21FE7">
              <w:rPr>
                <w:rFonts w:eastAsia="Times New Roman" w:cs="Calibri"/>
                <w:color w:val="000000"/>
                <w:sz w:val="16"/>
                <w:szCs w:val="16"/>
              </w:rPr>
              <w:t> </w:t>
            </w:r>
          </w:p>
        </w:tc>
        <w:tc>
          <w:tcPr>
            <w:tcW w:w="8569" w:type="dxa"/>
            <w:tcBorders>
              <w:top w:val="nil"/>
              <w:left w:val="nil"/>
              <w:bottom w:val="single" w:sz="4" w:space="0" w:color="auto"/>
              <w:right w:val="single" w:sz="4" w:space="0" w:color="auto"/>
            </w:tcBorders>
            <w:shd w:val="clear" w:color="000000" w:fill="FFFFFF"/>
            <w:vAlign w:val="center"/>
            <w:hideMark/>
          </w:tcPr>
          <w:p w14:paraId="50DBB5B4" w14:textId="77777777" w:rsidR="00E21FE7" w:rsidRPr="00E21FE7" w:rsidRDefault="00E21FE7" w:rsidP="00E21FE7">
            <w:pPr>
              <w:jc w:val="center"/>
              <w:rPr>
                <w:rFonts w:eastAsia="Times New Roman" w:cs="Calibri"/>
                <w:color w:val="000000"/>
                <w:sz w:val="18"/>
                <w:szCs w:val="18"/>
              </w:rPr>
            </w:pPr>
            <w:r w:rsidRPr="00E21FE7">
              <w:rPr>
                <w:rFonts w:eastAsia="Times New Roman" w:cs="Calibri"/>
                <w:color w:val="000000"/>
                <w:sz w:val="18"/>
                <w:szCs w:val="18"/>
              </w:rPr>
              <w:t>Target 17.3 Mobilize additional financial resources for developing countries from multiple sources. Indicator: Foreign direct investments (FDI), official development assistance and South-South Cooperation as a proportion of total domestic budget</w:t>
            </w:r>
          </w:p>
        </w:tc>
        <w:tc>
          <w:tcPr>
            <w:tcW w:w="1505" w:type="dxa"/>
            <w:tcBorders>
              <w:top w:val="nil"/>
              <w:left w:val="nil"/>
              <w:bottom w:val="single" w:sz="4" w:space="0" w:color="auto"/>
              <w:right w:val="single" w:sz="4" w:space="0" w:color="auto"/>
            </w:tcBorders>
            <w:shd w:val="clear" w:color="000000" w:fill="FFFFFF"/>
            <w:vAlign w:val="center"/>
            <w:hideMark/>
          </w:tcPr>
          <w:p w14:paraId="17D69BCD" w14:textId="77777777" w:rsidR="00E21FE7" w:rsidRPr="00E21FE7" w:rsidRDefault="00E21FE7" w:rsidP="00E21FE7">
            <w:pPr>
              <w:jc w:val="center"/>
              <w:rPr>
                <w:rFonts w:eastAsia="Times New Roman" w:cs="Calibri"/>
                <w:color w:val="000000"/>
                <w:sz w:val="16"/>
                <w:szCs w:val="16"/>
              </w:rPr>
            </w:pPr>
            <w:r w:rsidRPr="00E21FE7">
              <w:rPr>
                <w:rFonts w:eastAsia="Times New Roman" w:cs="Calibri"/>
                <w:color w:val="000000"/>
                <w:sz w:val="16"/>
                <w:szCs w:val="16"/>
              </w:rPr>
              <w:t xml:space="preserve">26 </w:t>
            </w:r>
          </w:p>
        </w:tc>
        <w:tc>
          <w:tcPr>
            <w:tcW w:w="2043" w:type="dxa"/>
            <w:tcBorders>
              <w:top w:val="nil"/>
              <w:left w:val="nil"/>
              <w:bottom w:val="single" w:sz="4" w:space="0" w:color="auto"/>
              <w:right w:val="single" w:sz="8" w:space="0" w:color="auto"/>
            </w:tcBorders>
            <w:shd w:val="clear" w:color="000000" w:fill="FFFFFF"/>
            <w:vAlign w:val="center"/>
            <w:hideMark/>
          </w:tcPr>
          <w:p w14:paraId="1F23C00C" w14:textId="77777777" w:rsidR="00E21FE7" w:rsidRPr="00E21FE7" w:rsidRDefault="00E21FE7" w:rsidP="00E21FE7">
            <w:pPr>
              <w:jc w:val="center"/>
              <w:rPr>
                <w:rFonts w:eastAsia="Times New Roman" w:cs="Calibri"/>
                <w:color w:val="000000"/>
                <w:sz w:val="16"/>
                <w:szCs w:val="16"/>
              </w:rPr>
            </w:pPr>
            <w:r w:rsidRPr="00E21FE7">
              <w:rPr>
                <w:rFonts w:eastAsia="Times New Roman" w:cs="Calibri"/>
                <w:color w:val="000000"/>
                <w:sz w:val="16"/>
                <w:szCs w:val="16"/>
              </w:rPr>
              <w:t xml:space="preserve">381,754 </w:t>
            </w:r>
          </w:p>
        </w:tc>
      </w:tr>
      <w:tr w:rsidR="00E21FE7" w:rsidRPr="00E21FE7" w14:paraId="33F7C47B" w14:textId="77777777" w:rsidTr="003E65C1">
        <w:trPr>
          <w:trHeight w:val="1430"/>
        </w:trPr>
        <w:tc>
          <w:tcPr>
            <w:tcW w:w="669" w:type="dxa"/>
            <w:tcBorders>
              <w:top w:val="nil"/>
              <w:left w:val="single" w:sz="8" w:space="0" w:color="auto"/>
              <w:bottom w:val="nil"/>
              <w:right w:val="single" w:sz="4" w:space="0" w:color="auto"/>
            </w:tcBorders>
            <w:shd w:val="clear" w:color="auto" w:fill="auto"/>
            <w:vAlign w:val="center"/>
            <w:hideMark/>
          </w:tcPr>
          <w:p w14:paraId="2EE8DD3C" w14:textId="77777777" w:rsidR="00E21FE7" w:rsidRPr="00E21FE7" w:rsidRDefault="00E21FE7" w:rsidP="00E21FE7">
            <w:pPr>
              <w:jc w:val="center"/>
              <w:rPr>
                <w:rFonts w:eastAsia="Times New Roman" w:cs="Calibri"/>
                <w:color w:val="000000"/>
                <w:sz w:val="16"/>
                <w:szCs w:val="16"/>
              </w:rPr>
            </w:pPr>
            <w:r w:rsidRPr="00E21FE7">
              <w:rPr>
                <w:rFonts w:eastAsia="Times New Roman" w:cs="Calibri"/>
                <w:color w:val="000000"/>
                <w:sz w:val="16"/>
                <w:szCs w:val="16"/>
              </w:rPr>
              <w:lastRenderedPageBreak/>
              <w:t> </w:t>
            </w:r>
          </w:p>
        </w:tc>
        <w:tc>
          <w:tcPr>
            <w:tcW w:w="8569" w:type="dxa"/>
            <w:tcBorders>
              <w:top w:val="nil"/>
              <w:left w:val="nil"/>
              <w:bottom w:val="nil"/>
              <w:right w:val="single" w:sz="4" w:space="0" w:color="auto"/>
            </w:tcBorders>
            <w:shd w:val="clear" w:color="000000" w:fill="FFFFFF"/>
            <w:vAlign w:val="center"/>
            <w:hideMark/>
          </w:tcPr>
          <w:p w14:paraId="367C0823" w14:textId="77777777" w:rsidR="00E21FE7" w:rsidRPr="00E21FE7" w:rsidRDefault="00E21FE7" w:rsidP="00E21FE7">
            <w:pPr>
              <w:jc w:val="center"/>
              <w:rPr>
                <w:rFonts w:eastAsia="Times New Roman" w:cs="Calibri"/>
                <w:color w:val="000000"/>
                <w:sz w:val="18"/>
                <w:szCs w:val="18"/>
              </w:rPr>
            </w:pPr>
            <w:r w:rsidRPr="00E21FE7">
              <w:rPr>
                <w:rFonts w:eastAsia="Times New Roman" w:cs="Calibri"/>
                <w:color w:val="000000"/>
                <w:sz w:val="18"/>
                <w:szCs w:val="18"/>
              </w:rPr>
              <w:t>Target 17.17 Encourage and promote effective public, public-private and civil society partnerships, building on the experience and resourcing strategies of partnerships. Indicator: Amount of United States dollars committed to public-private and civil society partnerships</w:t>
            </w:r>
          </w:p>
        </w:tc>
        <w:tc>
          <w:tcPr>
            <w:tcW w:w="1505" w:type="dxa"/>
            <w:tcBorders>
              <w:top w:val="nil"/>
              <w:left w:val="nil"/>
              <w:bottom w:val="nil"/>
              <w:right w:val="single" w:sz="4" w:space="0" w:color="auto"/>
            </w:tcBorders>
            <w:shd w:val="clear" w:color="000000" w:fill="FFFFFF"/>
            <w:vAlign w:val="center"/>
            <w:hideMark/>
          </w:tcPr>
          <w:p w14:paraId="4F50E92D" w14:textId="77777777" w:rsidR="00E21FE7" w:rsidRPr="00E21FE7" w:rsidRDefault="00E21FE7" w:rsidP="00E21FE7">
            <w:pPr>
              <w:jc w:val="center"/>
              <w:rPr>
                <w:rFonts w:eastAsia="Times New Roman" w:cs="Calibri"/>
                <w:color w:val="000000"/>
                <w:sz w:val="16"/>
                <w:szCs w:val="16"/>
              </w:rPr>
            </w:pPr>
            <w:r w:rsidRPr="00E21FE7">
              <w:rPr>
                <w:rFonts w:eastAsia="Times New Roman" w:cs="Calibri"/>
                <w:color w:val="000000"/>
                <w:sz w:val="16"/>
                <w:szCs w:val="16"/>
              </w:rPr>
              <w:t xml:space="preserve">19 </w:t>
            </w:r>
          </w:p>
        </w:tc>
        <w:tc>
          <w:tcPr>
            <w:tcW w:w="2043" w:type="dxa"/>
            <w:tcBorders>
              <w:top w:val="nil"/>
              <w:left w:val="nil"/>
              <w:bottom w:val="nil"/>
              <w:right w:val="single" w:sz="8" w:space="0" w:color="auto"/>
            </w:tcBorders>
            <w:shd w:val="clear" w:color="000000" w:fill="FFFFFF"/>
            <w:vAlign w:val="center"/>
            <w:hideMark/>
          </w:tcPr>
          <w:p w14:paraId="6E0E419B" w14:textId="77777777" w:rsidR="00E21FE7" w:rsidRPr="00E21FE7" w:rsidRDefault="00E21FE7" w:rsidP="00E21FE7">
            <w:pPr>
              <w:jc w:val="center"/>
              <w:rPr>
                <w:rFonts w:eastAsia="Times New Roman" w:cs="Calibri"/>
                <w:color w:val="000000"/>
                <w:sz w:val="16"/>
                <w:szCs w:val="16"/>
              </w:rPr>
            </w:pPr>
            <w:r w:rsidRPr="00E21FE7">
              <w:rPr>
                <w:rFonts w:eastAsia="Times New Roman" w:cs="Calibri"/>
                <w:color w:val="000000"/>
                <w:sz w:val="16"/>
                <w:szCs w:val="16"/>
              </w:rPr>
              <w:t xml:space="preserve">275,254 </w:t>
            </w:r>
          </w:p>
        </w:tc>
      </w:tr>
      <w:tr w:rsidR="00E21FE7" w:rsidRPr="00E21FE7" w14:paraId="2EF79620" w14:textId="77777777" w:rsidTr="003E65C1">
        <w:trPr>
          <w:trHeight w:val="274"/>
        </w:trPr>
        <w:tc>
          <w:tcPr>
            <w:tcW w:w="9238"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43396F2F" w14:textId="77777777" w:rsidR="00E21FE7" w:rsidRPr="00E21FE7" w:rsidRDefault="00E21FE7" w:rsidP="00E21FE7">
            <w:pPr>
              <w:rPr>
                <w:rFonts w:eastAsia="Times New Roman" w:cs="Calibri"/>
                <w:color w:val="000000"/>
                <w:sz w:val="18"/>
                <w:szCs w:val="18"/>
              </w:rPr>
            </w:pPr>
            <w:r w:rsidRPr="00E21FE7">
              <w:rPr>
                <w:rFonts w:eastAsia="Times New Roman" w:cs="Calibri"/>
                <w:color w:val="000000"/>
                <w:sz w:val="18"/>
                <w:szCs w:val="18"/>
              </w:rPr>
              <w:t>TOTAL</w:t>
            </w:r>
          </w:p>
        </w:tc>
        <w:tc>
          <w:tcPr>
            <w:tcW w:w="1505" w:type="dxa"/>
            <w:tcBorders>
              <w:top w:val="single" w:sz="4" w:space="0" w:color="auto"/>
              <w:left w:val="nil"/>
              <w:bottom w:val="single" w:sz="8" w:space="0" w:color="auto"/>
              <w:right w:val="single" w:sz="4" w:space="0" w:color="auto"/>
            </w:tcBorders>
            <w:shd w:val="clear" w:color="000000" w:fill="FFFFFF"/>
            <w:vAlign w:val="center"/>
            <w:hideMark/>
          </w:tcPr>
          <w:p w14:paraId="0D6B4960" w14:textId="77777777" w:rsidR="00E21FE7" w:rsidRPr="00E21FE7" w:rsidRDefault="00E21FE7" w:rsidP="00E21FE7">
            <w:pPr>
              <w:jc w:val="center"/>
              <w:rPr>
                <w:rFonts w:eastAsia="Times New Roman" w:cs="Calibri"/>
                <w:color w:val="000000"/>
                <w:sz w:val="18"/>
                <w:szCs w:val="18"/>
              </w:rPr>
            </w:pPr>
            <w:r w:rsidRPr="00E21FE7">
              <w:rPr>
                <w:rFonts w:eastAsia="Times New Roman" w:cs="Calibri"/>
                <w:color w:val="000000"/>
                <w:sz w:val="18"/>
                <w:szCs w:val="18"/>
              </w:rPr>
              <w:t xml:space="preserve">                 100 </w:t>
            </w:r>
          </w:p>
        </w:tc>
        <w:tc>
          <w:tcPr>
            <w:tcW w:w="2043" w:type="dxa"/>
            <w:tcBorders>
              <w:top w:val="single" w:sz="4" w:space="0" w:color="auto"/>
              <w:left w:val="nil"/>
              <w:bottom w:val="single" w:sz="8" w:space="0" w:color="auto"/>
              <w:right w:val="single" w:sz="8" w:space="0" w:color="auto"/>
            </w:tcBorders>
            <w:shd w:val="clear" w:color="000000" w:fill="FFFFFF"/>
            <w:vAlign w:val="center"/>
            <w:hideMark/>
          </w:tcPr>
          <w:p w14:paraId="67EA9F8B" w14:textId="77777777" w:rsidR="00E21FE7" w:rsidRPr="00E21FE7" w:rsidRDefault="00E21FE7" w:rsidP="00E21FE7">
            <w:pPr>
              <w:jc w:val="center"/>
              <w:rPr>
                <w:rFonts w:eastAsia="Times New Roman" w:cs="Calibri"/>
                <w:color w:val="000000"/>
                <w:sz w:val="18"/>
                <w:szCs w:val="18"/>
              </w:rPr>
            </w:pPr>
            <w:r w:rsidRPr="00E21FE7">
              <w:rPr>
                <w:rFonts w:eastAsia="Times New Roman" w:cs="Calibri"/>
                <w:color w:val="000000"/>
                <w:sz w:val="18"/>
                <w:szCs w:val="18"/>
              </w:rPr>
              <w:t xml:space="preserve">           1,451,134.02 </w:t>
            </w:r>
          </w:p>
        </w:tc>
      </w:tr>
    </w:tbl>
    <w:p w14:paraId="281EEF19" w14:textId="77777777" w:rsidR="00DB6E0D" w:rsidRPr="00CD3D9C" w:rsidRDefault="00DB6E0D" w:rsidP="001134F6">
      <w:pPr>
        <w:rPr>
          <w:rFonts w:eastAsia="Times New Roman"/>
          <w:color w:val="000000" w:themeColor="text1"/>
          <w:szCs w:val="20"/>
          <w:lang w:eastAsia="en-GB"/>
        </w:rPr>
      </w:pPr>
    </w:p>
    <w:p w14:paraId="3C32EBB9" w14:textId="05C9AFB9" w:rsidR="009C6849" w:rsidRDefault="009C6849" w:rsidP="001134F6">
      <w:pPr>
        <w:rPr>
          <w:rFonts w:eastAsia="Times New Roman"/>
          <w:b/>
          <w:bCs/>
          <w:color w:val="0070C0"/>
          <w:szCs w:val="20"/>
          <w:u w:val="single"/>
          <w:lang w:eastAsia="en-GB"/>
        </w:rPr>
      </w:pPr>
    </w:p>
    <w:p w14:paraId="26C0AC9A" w14:textId="1A45C8C5" w:rsidR="00817C81" w:rsidRDefault="00CC23C7" w:rsidP="001134F6">
      <w:pPr>
        <w:rPr>
          <w:b/>
          <w:color w:val="000000" w:themeColor="text1"/>
          <w:spacing w:val="-6"/>
          <w:szCs w:val="20"/>
        </w:rPr>
      </w:pPr>
      <w:r w:rsidRPr="00CD3D9C">
        <w:rPr>
          <w:rFonts w:eastAsia="Times New Roman"/>
          <w:b/>
          <w:bCs/>
          <w:color w:val="0070C0"/>
          <w:szCs w:val="20"/>
          <w:u w:val="single"/>
          <w:lang w:eastAsia="en-GB"/>
        </w:rPr>
        <w:t>4</w:t>
      </w:r>
      <w:r w:rsidR="00081CE7" w:rsidRPr="00CD3D9C">
        <w:rPr>
          <w:rFonts w:eastAsia="Times New Roman"/>
          <w:b/>
          <w:bCs/>
          <w:color w:val="0070C0"/>
          <w:szCs w:val="20"/>
          <w:u w:val="single"/>
          <w:lang w:eastAsia="en-GB"/>
        </w:rPr>
        <w:t>.</w:t>
      </w:r>
      <w:r w:rsidR="00D765B7" w:rsidRPr="00CD3D9C">
        <w:rPr>
          <w:rFonts w:eastAsia="Times New Roman"/>
          <w:b/>
          <w:bCs/>
          <w:color w:val="0070C0"/>
          <w:szCs w:val="20"/>
          <w:u w:val="single"/>
          <w:lang w:eastAsia="en-GB"/>
        </w:rPr>
        <w:t>3</w:t>
      </w:r>
      <w:r w:rsidR="008B02D0" w:rsidRPr="00CD3D9C">
        <w:rPr>
          <w:rFonts w:eastAsia="Times New Roman"/>
          <w:b/>
          <w:bCs/>
          <w:color w:val="0070C0"/>
          <w:szCs w:val="20"/>
          <w:u w:val="single"/>
          <w:lang w:eastAsia="en-GB"/>
        </w:rPr>
        <w:t xml:space="preserve"> Work plan</w:t>
      </w:r>
    </w:p>
    <w:p w14:paraId="47BE0E56" w14:textId="09A07C89" w:rsidR="00817C81" w:rsidRDefault="009D5280" w:rsidP="001134F6">
      <w:pPr>
        <w:rPr>
          <w:b/>
          <w:color w:val="000000" w:themeColor="text1"/>
          <w:spacing w:val="-6"/>
          <w:szCs w:val="20"/>
        </w:rPr>
      </w:pPr>
      <w:r w:rsidRPr="009D5280">
        <w:rPr>
          <w:noProof/>
        </w:rPr>
        <w:drawing>
          <wp:inline distT="0" distB="0" distL="0" distR="0" wp14:anchorId="1F373248" wp14:editId="11A978C9">
            <wp:extent cx="8229600" cy="4044315"/>
            <wp:effectExtent l="19050" t="19050" r="19050" b="133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229600" cy="4044315"/>
                    </a:xfrm>
                    <a:prstGeom prst="rect">
                      <a:avLst/>
                    </a:prstGeom>
                    <a:noFill/>
                    <a:ln>
                      <a:solidFill>
                        <a:schemeClr val="tx1"/>
                      </a:solidFill>
                    </a:ln>
                  </pic:spPr>
                </pic:pic>
              </a:graphicData>
            </a:graphic>
          </wp:inline>
        </w:drawing>
      </w:r>
    </w:p>
    <w:p w14:paraId="6CD641C6" w14:textId="1A32D8FA" w:rsidR="009D5280" w:rsidRDefault="009D5280" w:rsidP="001134F6">
      <w:pPr>
        <w:rPr>
          <w:b/>
          <w:color w:val="000000" w:themeColor="text1"/>
          <w:spacing w:val="-6"/>
          <w:szCs w:val="20"/>
        </w:rPr>
      </w:pPr>
    </w:p>
    <w:p w14:paraId="2BBAB208" w14:textId="7D34C093" w:rsidR="009D5280" w:rsidRDefault="00031610" w:rsidP="001134F6">
      <w:pPr>
        <w:rPr>
          <w:b/>
          <w:color w:val="000000" w:themeColor="text1"/>
          <w:spacing w:val="-6"/>
          <w:szCs w:val="20"/>
        </w:rPr>
      </w:pPr>
      <w:r w:rsidRPr="00031610">
        <w:rPr>
          <w:noProof/>
        </w:rPr>
        <w:lastRenderedPageBreak/>
        <w:drawing>
          <wp:inline distT="0" distB="0" distL="0" distR="0" wp14:anchorId="5DBEC0EA" wp14:editId="1ED3A929">
            <wp:extent cx="8229600" cy="4687570"/>
            <wp:effectExtent l="19050" t="19050" r="19050" b="177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8229600" cy="4687570"/>
                    </a:xfrm>
                    <a:prstGeom prst="rect">
                      <a:avLst/>
                    </a:prstGeom>
                    <a:noFill/>
                    <a:ln>
                      <a:solidFill>
                        <a:schemeClr val="tx1"/>
                      </a:solidFill>
                    </a:ln>
                  </pic:spPr>
                </pic:pic>
              </a:graphicData>
            </a:graphic>
          </wp:inline>
        </w:drawing>
      </w:r>
    </w:p>
    <w:p w14:paraId="6BCCC069" w14:textId="678A6FEC" w:rsidR="00031610" w:rsidRDefault="00031610" w:rsidP="001134F6">
      <w:pPr>
        <w:rPr>
          <w:b/>
          <w:color w:val="000000" w:themeColor="text1"/>
          <w:spacing w:val="-6"/>
          <w:szCs w:val="20"/>
        </w:rPr>
      </w:pPr>
    </w:p>
    <w:p w14:paraId="44F497E9" w14:textId="17251F5B" w:rsidR="00031610" w:rsidRDefault="00031610" w:rsidP="001134F6">
      <w:pPr>
        <w:rPr>
          <w:b/>
          <w:color w:val="000000" w:themeColor="text1"/>
          <w:spacing w:val="-6"/>
          <w:szCs w:val="20"/>
        </w:rPr>
      </w:pPr>
      <w:r w:rsidRPr="00031610">
        <w:rPr>
          <w:noProof/>
        </w:rPr>
        <w:lastRenderedPageBreak/>
        <w:drawing>
          <wp:inline distT="0" distB="0" distL="0" distR="0" wp14:anchorId="5BAD7623" wp14:editId="0B6B7D3E">
            <wp:extent cx="8229600" cy="3045460"/>
            <wp:effectExtent l="19050" t="19050" r="19050" b="215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229600" cy="3045460"/>
                    </a:xfrm>
                    <a:prstGeom prst="rect">
                      <a:avLst/>
                    </a:prstGeom>
                    <a:noFill/>
                    <a:ln>
                      <a:solidFill>
                        <a:schemeClr val="tx1"/>
                      </a:solidFill>
                    </a:ln>
                  </pic:spPr>
                </pic:pic>
              </a:graphicData>
            </a:graphic>
          </wp:inline>
        </w:drawing>
      </w:r>
    </w:p>
    <w:p w14:paraId="0630B1D1" w14:textId="77777777" w:rsidR="00031610" w:rsidRDefault="00031610" w:rsidP="001134F6">
      <w:pPr>
        <w:rPr>
          <w:b/>
          <w:color w:val="000000" w:themeColor="text1"/>
          <w:spacing w:val="-6"/>
          <w:szCs w:val="20"/>
        </w:rPr>
      </w:pPr>
    </w:p>
    <w:p w14:paraId="5C401BB6" w14:textId="4FDDA592" w:rsidR="00817C81" w:rsidRDefault="00C1660F" w:rsidP="001134F6">
      <w:pPr>
        <w:rPr>
          <w:b/>
          <w:color w:val="000000" w:themeColor="text1"/>
          <w:spacing w:val="-6"/>
          <w:szCs w:val="20"/>
        </w:rPr>
      </w:pPr>
      <w:r w:rsidRPr="00C1660F">
        <w:rPr>
          <w:noProof/>
        </w:rPr>
        <w:drawing>
          <wp:inline distT="0" distB="0" distL="0" distR="0" wp14:anchorId="49D124E5" wp14:editId="496F7390">
            <wp:extent cx="8229600" cy="1622425"/>
            <wp:effectExtent l="19050" t="19050" r="19050" b="158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8229600" cy="1622425"/>
                    </a:xfrm>
                    <a:prstGeom prst="rect">
                      <a:avLst/>
                    </a:prstGeom>
                    <a:noFill/>
                    <a:ln>
                      <a:solidFill>
                        <a:schemeClr val="tx1"/>
                      </a:solidFill>
                    </a:ln>
                  </pic:spPr>
                </pic:pic>
              </a:graphicData>
            </a:graphic>
          </wp:inline>
        </w:drawing>
      </w:r>
    </w:p>
    <w:p w14:paraId="59770710" w14:textId="4656E939" w:rsidR="00817C81" w:rsidRDefault="00817C81" w:rsidP="001134F6">
      <w:pPr>
        <w:rPr>
          <w:b/>
          <w:color w:val="000000" w:themeColor="text1"/>
          <w:spacing w:val="-6"/>
          <w:szCs w:val="20"/>
        </w:rPr>
      </w:pPr>
    </w:p>
    <w:p w14:paraId="0F3E0594" w14:textId="5968B862" w:rsidR="00817C81" w:rsidRDefault="00817C81" w:rsidP="001134F6">
      <w:pPr>
        <w:rPr>
          <w:b/>
          <w:color w:val="000000" w:themeColor="text1"/>
          <w:spacing w:val="-6"/>
          <w:szCs w:val="20"/>
        </w:rPr>
      </w:pPr>
    </w:p>
    <w:p w14:paraId="21767B98" w14:textId="59703096" w:rsidR="00817C81" w:rsidRDefault="00817C81" w:rsidP="001134F6">
      <w:pPr>
        <w:rPr>
          <w:b/>
          <w:color w:val="000000" w:themeColor="text1"/>
          <w:spacing w:val="-6"/>
          <w:szCs w:val="20"/>
        </w:rPr>
      </w:pPr>
    </w:p>
    <w:p w14:paraId="4004D770" w14:textId="14C9C193" w:rsidR="00817C81" w:rsidRDefault="00817C81" w:rsidP="001134F6">
      <w:pPr>
        <w:rPr>
          <w:b/>
          <w:color w:val="000000" w:themeColor="text1"/>
          <w:spacing w:val="-6"/>
          <w:szCs w:val="20"/>
        </w:rPr>
      </w:pPr>
    </w:p>
    <w:p w14:paraId="1B13EEBC" w14:textId="66BA5CF7" w:rsidR="00817C81" w:rsidRDefault="00817C81" w:rsidP="001134F6">
      <w:pPr>
        <w:rPr>
          <w:b/>
          <w:color w:val="000000" w:themeColor="text1"/>
          <w:spacing w:val="-6"/>
          <w:szCs w:val="20"/>
        </w:rPr>
      </w:pPr>
    </w:p>
    <w:p w14:paraId="168D5230" w14:textId="4696C8D7" w:rsidR="00817C81" w:rsidRDefault="00817C81" w:rsidP="001134F6">
      <w:pPr>
        <w:rPr>
          <w:b/>
          <w:color w:val="000000" w:themeColor="text1"/>
          <w:spacing w:val="-6"/>
          <w:szCs w:val="20"/>
        </w:rPr>
      </w:pPr>
    </w:p>
    <w:p w14:paraId="42D68843" w14:textId="526DFB10" w:rsidR="00CB6FF3" w:rsidRPr="00CD3D9C" w:rsidRDefault="00E207B7" w:rsidP="001134F6">
      <w:pPr>
        <w:rPr>
          <w:rFonts w:eastAsia="Times New Roman"/>
          <w:b/>
          <w:color w:val="0070C0"/>
          <w:szCs w:val="20"/>
          <w:u w:val="single"/>
          <w:lang w:eastAsia="en-GB"/>
        </w:rPr>
      </w:pPr>
      <w:r w:rsidRPr="00CD3D9C">
        <w:rPr>
          <w:rFonts w:eastAsia="Times New Roman"/>
          <w:b/>
          <w:color w:val="0070C0"/>
          <w:szCs w:val="20"/>
          <w:u w:val="single"/>
          <w:lang w:eastAsia="en-GB"/>
        </w:rPr>
        <w:lastRenderedPageBreak/>
        <w:t xml:space="preserve">Annex </w:t>
      </w:r>
      <w:r w:rsidR="00CC23C7" w:rsidRPr="00CD3D9C">
        <w:rPr>
          <w:rFonts w:eastAsia="Times New Roman"/>
          <w:b/>
          <w:color w:val="0070C0"/>
          <w:szCs w:val="20"/>
          <w:u w:val="single"/>
          <w:lang w:eastAsia="en-GB"/>
        </w:rPr>
        <w:t>5</w:t>
      </w:r>
      <w:r w:rsidR="00D765B7" w:rsidRPr="00CD3D9C">
        <w:rPr>
          <w:rFonts w:eastAsia="Times New Roman"/>
          <w:b/>
          <w:color w:val="0070C0"/>
          <w:szCs w:val="20"/>
          <w:u w:val="single"/>
          <w:lang w:eastAsia="en-GB"/>
        </w:rPr>
        <w:t xml:space="preserve">. </w:t>
      </w:r>
      <w:r w:rsidR="00ED18C9" w:rsidRPr="00CD3D9C">
        <w:rPr>
          <w:rFonts w:eastAsia="Times New Roman"/>
          <w:b/>
          <w:color w:val="0070C0"/>
          <w:szCs w:val="20"/>
          <w:u w:val="single"/>
          <w:lang w:eastAsia="en-GB"/>
        </w:rPr>
        <w:t xml:space="preserve">Risk </w:t>
      </w:r>
      <w:r w:rsidR="00146AAC" w:rsidRPr="00CD3D9C">
        <w:rPr>
          <w:rFonts w:eastAsia="Times New Roman"/>
          <w:b/>
          <w:color w:val="0070C0"/>
          <w:szCs w:val="20"/>
          <w:u w:val="single"/>
          <w:lang w:eastAsia="en-GB"/>
        </w:rPr>
        <w:t>Management</w:t>
      </w:r>
      <w:r w:rsidR="00ED18C9" w:rsidRPr="00CD3D9C">
        <w:rPr>
          <w:rFonts w:eastAsia="Times New Roman"/>
          <w:b/>
          <w:color w:val="0070C0"/>
          <w:szCs w:val="20"/>
          <w:u w:val="single"/>
          <w:lang w:eastAsia="en-GB"/>
        </w:rPr>
        <w:t xml:space="preserve"> </w:t>
      </w:r>
      <w:r w:rsidR="007D2C7C" w:rsidRPr="00CD3D9C">
        <w:rPr>
          <w:rFonts w:eastAsia="Times New Roman"/>
          <w:b/>
          <w:color w:val="0070C0"/>
          <w:szCs w:val="20"/>
          <w:u w:val="single"/>
          <w:lang w:eastAsia="en-GB"/>
        </w:rPr>
        <w:t>Plan</w:t>
      </w:r>
    </w:p>
    <w:p w14:paraId="07C04A02" w14:textId="4C6C1EA4" w:rsidR="008D11F2" w:rsidRDefault="008D11F2" w:rsidP="001134F6">
      <w:pPr>
        <w:rPr>
          <w:rFonts w:eastAsia="Times New Roman"/>
          <w:color w:val="C45911" w:themeColor="accent2" w:themeShade="BF"/>
          <w:szCs w:val="20"/>
          <w:lang w:eastAsia="en-GB"/>
        </w:rPr>
      </w:pPr>
    </w:p>
    <w:p w14:paraId="07D20E92" w14:textId="26BA54BC" w:rsidR="006F4A57" w:rsidRPr="00CC6893" w:rsidRDefault="006F4A57" w:rsidP="006F4A57">
      <w:pPr>
        <w:rPr>
          <w:rFonts w:eastAsia="Times New Roman" w:cstheme="minorBidi"/>
          <w:szCs w:val="20"/>
          <w:lang w:eastAsia="en-GB"/>
        </w:rPr>
      </w:pPr>
      <w:r w:rsidRPr="00CC6893">
        <w:rPr>
          <w:rFonts w:eastAsia="Times New Roman" w:cstheme="minorBidi"/>
          <w:szCs w:val="20"/>
          <w:lang w:eastAsia="en-GB"/>
        </w:rPr>
        <w:t>The goal of the Joint Proposal for SDG Financing is to increase mobilization, alignment and accountability of financing flows for SDGs in Maldives. For a smooth implementation of the proposed activities it is essential to map potential risks which may arise during the duration of the project. Therefore, a risk manageent plan is operationalized to assess, prevent and mitigate risks for achieving the objectives to reinforce the SDG financing architecture.</w:t>
      </w:r>
    </w:p>
    <w:p w14:paraId="2085BE00" w14:textId="77777777" w:rsidR="006F4A57" w:rsidRPr="00CC6893" w:rsidRDefault="006F4A57" w:rsidP="006F4A57">
      <w:pPr>
        <w:rPr>
          <w:rFonts w:eastAsia="Times New Roman" w:cstheme="minorBidi"/>
          <w:szCs w:val="20"/>
          <w:lang w:eastAsia="en-GB"/>
        </w:rPr>
      </w:pPr>
    </w:p>
    <w:p w14:paraId="45D6BA00" w14:textId="77777777" w:rsidR="006F4A57" w:rsidRPr="00CC6893" w:rsidRDefault="006F4A57" w:rsidP="006F4A57">
      <w:pPr>
        <w:rPr>
          <w:rFonts w:eastAsia="Times New Roman" w:cstheme="minorBidi"/>
          <w:szCs w:val="20"/>
          <w:lang w:eastAsia="en-GB"/>
        </w:rPr>
      </w:pPr>
      <w:r w:rsidRPr="00CC6893">
        <w:rPr>
          <w:rFonts w:eastAsia="Times New Roman" w:cstheme="minorBidi"/>
          <w:szCs w:val="20"/>
          <w:lang w:eastAsia="en-GB"/>
        </w:rPr>
        <w:t>Overall Risk Management measures:</w:t>
      </w:r>
    </w:p>
    <w:p w14:paraId="59AA6E16" w14:textId="4B33C6A3" w:rsidR="006F4A57" w:rsidRPr="00322C99" w:rsidRDefault="006F4A57" w:rsidP="00322C99">
      <w:pPr>
        <w:pStyle w:val="ListParagraph"/>
        <w:numPr>
          <w:ilvl w:val="0"/>
          <w:numId w:val="48"/>
        </w:numPr>
        <w:spacing w:line="276" w:lineRule="auto"/>
        <w:jc w:val="both"/>
      </w:pPr>
      <w:r w:rsidRPr="00322C99">
        <w:t xml:space="preserve">As the </w:t>
      </w:r>
      <w:r w:rsidR="001A24A0" w:rsidRPr="00322C99">
        <w:t xml:space="preserve">Convening </w:t>
      </w:r>
      <w:r w:rsidRPr="00322C99">
        <w:t xml:space="preserve">Agency for joint programme, UNDP will be responsible for overall coordination and convening PUNO meetings to assess the risks as needed. </w:t>
      </w:r>
    </w:p>
    <w:p w14:paraId="30C708B9" w14:textId="205D7196" w:rsidR="00DE0FB8" w:rsidRPr="00322C99" w:rsidRDefault="00DE0FB8" w:rsidP="00DE0FB8">
      <w:pPr>
        <w:pStyle w:val="ListParagraph"/>
        <w:numPr>
          <w:ilvl w:val="0"/>
          <w:numId w:val="48"/>
        </w:numPr>
        <w:spacing w:line="276" w:lineRule="auto"/>
        <w:jc w:val="both"/>
        <w:rPr>
          <w:rFonts w:cstheme="minorBidi"/>
          <w:szCs w:val="20"/>
          <w:lang w:eastAsia="en-GB"/>
        </w:rPr>
      </w:pPr>
      <w:r w:rsidRPr="004E3142">
        <w:t>The</w:t>
      </w:r>
      <w:r w:rsidRPr="004E3142">
        <w:rPr>
          <w:szCs w:val="20"/>
        </w:rPr>
        <w:t xml:space="preserve"> full</w:t>
      </w:r>
      <w:r>
        <w:rPr>
          <w:szCs w:val="20"/>
        </w:rPr>
        <w:t>-</w:t>
      </w:r>
      <w:r w:rsidRPr="004E3142">
        <w:rPr>
          <w:szCs w:val="20"/>
        </w:rPr>
        <w:t>fledged</w:t>
      </w:r>
      <w:r w:rsidRPr="004E3142">
        <w:t xml:space="preserve"> INFF Oversight Committee </w:t>
      </w:r>
      <w:r>
        <w:t xml:space="preserve">will </w:t>
      </w:r>
      <w:r w:rsidRPr="004E3142">
        <w:t>act as the steering committee for the JP</w:t>
      </w:r>
      <w:r>
        <w:t xml:space="preserve"> providing</w:t>
      </w:r>
      <w:r w:rsidRPr="004E3142">
        <w:t xml:space="preserve"> overall strategic direction, oversight and quality assurance and decision making on the direction of JP activities.</w:t>
      </w:r>
      <w:r w:rsidRPr="00CD3D9C">
        <w:rPr>
          <w:szCs w:val="20"/>
        </w:rPr>
        <w:t xml:space="preserve"> It is responsible for the overseeing the design, implementation and monitoring of the INFF in the Maldives</w:t>
      </w:r>
      <w:r>
        <w:rPr>
          <w:szCs w:val="20"/>
        </w:rPr>
        <w:t xml:space="preserve"> </w:t>
      </w:r>
    </w:p>
    <w:p w14:paraId="3BDB3C64" w14:textId="54D1CC68" w:rsidR="00322C99" w:rsidRPr="00305B32" w:rsidRDefault="00322C99" w:rsidP="00DE0FB8">
      <w:pPr>
        <w:pStyle w:val="ListParagraph"/>
        <w:numPr>
          <w:ilvl w:val="0"/>
          <w:numId w:val="48"/>
        </w:numPr>
        <w:spacing w:line="276" w:lineRule="auto"/>
        <w:jc w:val="both"/>
        <w:rPr>
          <w:rFonts w:cstheme="minorBidi"/>
          <w:szCs w:val="20"/>
          <w:lang w:eastAsia="en-GB"/>
        </w:rPr>
      </w:pPr>
      <w:r>
        <w:rPr>
          <w:rFonts w:cstheme="minorBidi"/>
          <w:szCs w:val="20"/>
          <w:lang w:eastAsia="en-GB"/>
        </w:rPr>
        <w:t>UN</w:t>
      </w:r>
      <w:r w:rsidR="00C64594">
        <w:rPr>
          <w:rFonts w:cstheme="minorBidi"/>
          <w:szCs w:val="20"/>
          <w:lang w:eastAsia="en-GB"/>
        </w:rPr>
        <w:t xml:space="preserve"> Country Team</w:t>
      </w:r>
      <w:r>
        <w:rPr>
          <w:rFonts w:cstheme="minorBidi"/>
          <w:szCs w:val="20"/>
          <w:lang w:eastAsia="en-GB"/>
        </w:rPr>
        <w:t xml:space="preserve"> will </w:t>
      </w:r>
      <w:r w:rsidR="00C64594">
        <w:rPr>
          <w:szCs w:val="20"/>
        </w:rPr>
        <w:t>provide</w:t>
      </w:r>
      <w:r w:rsidRPr="00357710">
        <w:rPr>
          <w:szCs w:val="20"/>
        </w:rPr>
        <w:t xml:space="preserve"> </w:t>
      </w:r>
      <w:r w:rsidR="00C64594">
        <w:rPr>
          <w:szCs w:val="20"/>
        </w:rPr>
        <w:t xml:space="preserve">JP </w:t>
      </w:r>
      <w:r w:rsidRPr="00357710">
        <w:rPr>
          <w:szCs w:val="20"/>
        </w:rPr>
        <w:t xml:space="preserve">quarterly </w:t>
      </w:r>
      <w:r w:rsidR="00C64594">
        <w:rPr>
          <w:szCs w:val="20"/>
        </w:rPr>
        <w:t>updates</w:t>
      </w:r>
      <w:r w:rsidRPr="00357710">
        <w:rPr>
          <w:szCs w:val="20"/>
        </w:rPr>
        <w:t xml:space="preserve"> during the UNCT</w:t>
      </w:r>
      <w:r w:rsidR="00C64594">
        <w:rPr>
          <w:szCs w:val="20"/>
        </w:rPr>
        <w:t xml:space="preserve"> meetings</w:t>
      </w:r>
    </w:p>
    <w:p w14:paraId="7A4E24E5" w14:textId="77777777" w:rsidR="006F4A57" w:rsidRPr="00CC6893" w:rsidRDefault="006F4A57" w:rsidP="006F4A57">
      <w:pPr>
        <w:pStyle w:val="ListParagraph"/>
        <w:numPr>
          <w:ilvl w:val="0"/>
          <w:numId w:val="48"/>
        </w:numPr>
        <w:spacing w:line="276" w:lineRule="auto"/>
        <w:jc w:val="both"/>
        <w:rPr>
          <w:rFonts w:cstheme="minorBidi"/>
          <w:szCs w:val="20"/>
          <w:lang w:eastAsia="en-GB"/>
        </w:rPr>
      </w:pPr>
      <w:r w:rsidRPr="00CC6893">
        <w:rPr>
          <w:rFonts w:cstheme="minorBidi"/>
          <w:szCs w:val="20"/>
          <w:lang w:eastAsia="en-GB"/>
        </w:rPr>
        <w:t xml:space="preserve">The technical aspects of the activities carried out by each PUNO will be closely monitored and reported with support from the RCO. The Monitoring exercises to include assessments and updates of risks and their mitigation measures. </w:t>
      </w:r>
    </w:p>
    <w:p w14:paraId="22EA5C68" w14:textId="77777777" w:rsidR="006F4A57" w:rsidRPr="00CC6893" w:rsidRDefault="006F4A57" w:rsidP="006F4A57">
      <w:pPr>
        <w:pStyle w:val="ListParagraph"/>
        <w:numPr>
          <w:ilvl w:val="0"/>
          <w:numId w:val="48"/>
        </w:numPr>
        <w:jc w:val="both"/>
        <w:rPr>
          <w:rFonts w:cstheme="minorBidi"/>
          <w:szCs w:val="20"/>
          <w:lang w:eastAsia="en-GB"/>
        </w:rPr>
      </w:pPr>
      <w:r w:rsidRPr="00CC6893">
        <w:rPr>
          <w:rFonts w:cstheme="minorBidi"/>
          <w:szCs w:val="20"/>
          <w:lang w:eastAsia="en-GB"/>
        </w:rPr>
        <w:t>Each PUNO will appoint a Risk focal point, who will be responsible for monitoring risks affecting its contributions to the JPs outcomes.</w:t>
      </w:r>
    </w:p>
    <w:p w14:paraId="13E7B4F6" w14:textId="77777777" w:rsidR="006F4A57" w:rsidRPr="00CC6893" w:rsidRDefault="006F4A57" w:rsidP="006F4A57">
      <w:pPr>
        <w:pStyle w:val="ListParagraph"/>
        <w:ind w:left="1080"/>
        <w:rPr>
          <w:rFonts w:cstheme="minorBidi"/>
          <w:szCs w:val="20"/>
          <w:lang w:eastAsia="en-GB"/>
        </w:rPr>
      </w:pPr>
    </w:p>
    <w:p w14:paraId="3B15F72B" w14:textId="77777777" w:rsidR="006F4A57" w:rsidRPr="00CC6893" w:rsidRDefault="006F4A57" w:rsidP="006F4A57">
      <w:pPr>
        <w:rPr>
          <w:rFonts w:asciiTheme="minorBidi" w:eastAsia="Times New Roman" w:hAnsiTheme="minorBidi" w:cstheme="minorBidi"/>
          <w:lang w:eastAsia="en-GB"/>
        </w:rPr>
      </w:pPr>
      <w:r w:rsidRPr="00CC6893">
        <w:rPr>
          <w:rFonts w:eastAsia="Times New Roman" w:cstheme="minorBidi"/>
          <w:szCs w:val="20"/>
          <w:lang w:eastAsia="en-GB"/>
        </w:rPr>
        <w:t>Refer to the table below for detailed information on various type of risks, corresponding mitigation measures and the responsible organization</w:t>
      </w:r>
      <w:r w:rsidRPr="00CC6893">
        <w:rPr>
          <w:rFonts w:asciiTheme="minorBidi" w:eastAsia="Times New Roman" w:hAnsiTheme="minorBidi" w:cstheme="minorBidi"/>
          <w:lang w:eastAsia="en-GB"/>
        </w:rPr>
        <w:t>.</w:t>
      </w:r>
    </w:p>
    <w:p w14:paraId="0F0AFF8F" w14:textId="0889EAB5" w:rsidR="00244224" w:rsidRPr="00CD3D9C" w:rsidRDefault="00244224" w:rsidP="001134F6">
      <w:pPr>
        <w:rPr>
          <w:rFonts w:eastAsia="Times New Roman"/>
          <w:i/>
          <w:iCs/>
          <w:color w:val="000000" w:themeColor="text1"/>
          <w:szCs w:val="20"/>
          <w:lang w:eastAsia="en-GB"/>
        </w:rPr>
      </w:pPr>
    </w:p>
    <w:tbl>
      <w:tblPr>
        <w:tblStyle w:val="TableGrid"/>
        <w:tblW w:w="13135" w:type="dxa"/>
        <w:jc w:val="center"/>
        <w:tblLook w:val="04A0" w:firstRow="1" w:lastRow="0" w:firstColumn="1" w:lastColumn="0" w:noHBand="0" w:noVBand="1"/>
      </w:tblPr>
      <w:tblGrid>
        <w:gridCol w:w="4016"/>
        <w:gridCol w:w="1104"/>
        <w:gridCol w:w="1453"/>
        <w:gridCol w:w="1162"/>
        <w:gridCol w:w="3926"/>
        <w:gridCol w:w="1474"/>
      </w:tblGrid>
      <w:tr w:rsidR="00451790" w:rsidRPr="00272BF8" w14:paraId="113DCC16" w14:textId="77777777" w:rsidTr="006C2A43">
        <w:trPr>
          <w:jc w:val="center"/>
        </w:trPr>
        <w:tc>
          <w:tcPr>
            <w:tcW w:w="4016" w:type="dxa"/>
            <w:shd w:val="clear" w:color="auto" w:fill="BDD6EE" w:themeFill="accent5" w:themeFillTint="66"/>
            <w:vAlign w:val="center"/>
          </w:tcPr>
          <w:p w14:paraId="5F2A7A6D" w14:textId="77777777" w:rsidR="00451790" w:rsidRPr="00272BF8" w:rsidRDefault="00451790" w:rsidP="006C2A43">
            <w:pPr>
              <w:jc w:val="both"/>
              <w:rPr>
                <w:rFonts w:eastAsia="Cambria" w:cs="Calibri"/>
                <w:b/>
                <w:color w:val="000000" w:themeColor="text1"/>
                <w:sz w:val="24"/>
                <w:szCs w:val="24"/>
              </w:rPr>
            </w:pPr>
            <w:r w:rsidRPr="00272BF8">
              <w:rPr>
                <w:rFonts w:eastAsia="Cambria" w:cs="Calibri"/>
                <w:b/>
                <w:color w:val="000000" w:themeColor="text1"/>
                <w:sz w:val="24"/>
                <w:szCs w:val="24"/>
              </w:rPr>
              <w:t>Risks</w:t>
            </w:r>
          </w:p>
        </w:tc>
        <w:tc>
          <w:tcPr>
            <w:tcW w:w="1104" w:type="dxa"/>
            <w:shd w:val="clear" w:color="auto" w:fill="BDD6EE" w:themeFill="accent5" w:themeFillTint="66"/>
            <w:vAlign w:val="center"/>
          </w:tcPr>
          <w:p w14:paraId="7BA7A34D" w14:textId="77777777" w:rsidR="00451790" w:rsidRPr="00272BF8" w:rsidRDefault="00451790" w:rsidP="006C2A43">
            <w:pPr>
              <w:jc w:val="both"/>
              <w:rPr>
                <w:rFonts w:eastAsia="Cambria" w:cs="Calibri"/>
                <w:color w:val="000000" w:themeColor="text1"/>
                <w:sz w:val="16"/>
                <w:szCs w:val="24"/>
              </w:rPr>
            </w:pPr>
            <w:r w:rsidRPr="00272BF8">
              <w:rPr>
                <w:rFonts w:eastAsia="Cambria" w:cs="Calibri"/>
                <w:b/>
                <w:color w:val="000000" w:themeColor="text1"/>
                <w:szCs w:val="24"/>
              </w:rPr>
              <w:t>Risk Level:</w:t>
            </w:r>
          </w:p>
          <w:p w14:paraId="6930BCE7" w14:textId="77777777" w:rsidR="00451790" w:rsidRPr="00272BF8" w:rsidRDefault="00451790" w:rsidP="006C2A43">
            <w:pPr>
              <w:rPr>
                <w:rFonts w:eastAsia="Cambria" w:cs="Calibri"/>
                <w:color w:val="C45911" w:themeColor="accent2" w:themeShade="BF"/>
                <w:sz w:val="12"/>
              </w:rPr>
            </w:pPr>
            <w:r w:rsidRPr="00272BF8">
              <w:rPr>
                <w:rFonts w:eastAsia="Cambria" w:cs="Calibri"/>
                <w:color w:val="C45911" w:themeColor="accent2" w:themeShade="BF"/>
                <w:sz w:val="12"/>
              </w:rPr>
              <w:t>(Likelihood x Impact)</w:t>
            </w:r>
          </w:p>
        </w:tc>
        <w:tc>
          <w:tcPr>
            <w:tcW w:w="1453" w:type="dxa"/>
            <w:shd w:val="clear" w:color="auto" w:fill="BDD6EE" w:themeFill="accent5" w:themeFillTint="66"/>
            <w:vAlign w:val="center"/>
          </w:tcPr>
          <w:p w14:paraId="0DCBD48B" w14:textId="77777777" w:rsidR="00451790" w:rsidRPr="00272BF8" w:rsidRDefault="00451790" w:rsidP="006C2A43">
            <w:pPr>
              <w:rPr>
                <w:rFonts w:cs="Calibri"/>
                <w:b/>
                <w:color w:val="000000" w:themeColor="text1"/>
                <w:szCs w:val="24"/>
              </w:rPr>
            </w:pPr>
            <w:r w:rsidRPr="00272BF8">
              <w:rPr>
                <w:rFonts w:cs="Calibri"/>
                <w:b/>
                <w:color w:val="000000" w:themeColor="text1"/>
                <w:szCs w:val="24"/>
              </w:rPr>
              <w:t xml:space="preserve">Likelihood: </w:t>
            </w:r>
          </w:p>
          <w:p w14:paraId="5FA59E2E" w14:textId="77777777" w:rsidR="00451790" w:rsidRPr="00272BF8" w:rsidRDefault="00451790" w:rsidP="006C2A43">
            <w:pPr>
              <w:rPr>
                <w:rFonts w:cs="Calibri"/>
                <w:color w:val="C45911" w:themeColor="accent2" w:themeShade="BF"/>
                <w:sz w:val="12"/>
              </w:rPr>
            </w:pPr>
            <w:r w:rsidRPr="00272BF8">
              <w:rPr>
                <w:rFonts w:cs="Calibri"/>
                <w:color w:val="C45911" w:themeColor="accent2" w:themeShade="BF"/>
                <w:sz w:val="12"/>
              </w:rPr>
              <w:t>Certain - 5</w:t>
            </w:r>
          </w:p>
          <w:p w14:paraId="6FB221B3" w14:textId="77777777" w:rsidR="00451790" w:rsidRPr="00272BF8" w:rsidRDefault="00451790" w:rsidP="006C2A43">
            <w:pPr>
              <w:rPr>
                <w:rFonts w:cs="Calibri"/>
                <w:color w:val="C45911" w:themeColor="accent2" w:themeShade="BF"/>
                <w:sz w:val="12"/>
              </w:rPr>
            </w:pPr>
            <w:r w:rsidRPr="00272BF8">
              <w:rPr>
                <w:rFonts w:cs="Calibri"/>
                <w:color w:val="C45911" w:themeColor="accent2" w:themeShade="BF"/>
                <w:sz w:val="12"/>
              </w:rPr>
              <w:t>Likely - 4</w:t>
            </w:r>
          </w:p>
          <w:p w14:paraId="1FC3CBD0" w14:textId="77777777" w:rsidR="00451790" w:rsidRPr="00272BF8" w:rsidRDefault="00451790" w:rsidP="006C2A43">
            <w:pPr>
              <w:rPr>
                <w:rFonts w:cs="Calibri"/>
                <w:color w:val="C45911" w:themeColor="accent2" w:themeShade="BF"/>
                <w:sz w:val="12"/>
              </w:rPr>
            </w:pPr>
            <w:r w:rsidRPr="00272BF8">
              <w:rPr>
                <w:rFonts w:cs="Calibri"/>
                <w:color w:val="C45911" w:themeColor="accent2" w:themeShade="BF"/>
                <w:sz w:val="12"/>
              </w:rPr>
              <w:t>Possible - 3</w:t>
            </w:r>
          </w:p>
          <w:p w14:paraId="356EA0BD" w14:textId="77777777" w:rsidR="00451790" w:rsidRPr="00272BF8" w:rsidRDefault="00451790" w:rsidP="006C2A43">
            <w:pPr>
              <w:rPr>
                <w:rFonts w:cs="Calibri"/>
                <w:color w:val="C45911" w:themeColor="accent2" w:themeShade="BF"/>
                <w:sz w:val="12"/>
              </w:rPr>
            </w:pPr>
            <w:r w:rsidRPr="00272BF8">
              <w:rPr>
                <w:rFonts w:cs="Calibri"/>
                <w:color w:val="C45911" w:themeColor="accent2" w:themeShade="BF"/>
                <w:sz w:val="12"/>
              </w:rPr>
              <w:t>Unlikely - 2</w:t>
            </w:r>
          </w:p>
          <w:p w14:paraId="701932A5" w14:textId="77777777" w:rsidR="00451790" w:rsidRPr="00272BF8" w:rsidRDefault="00451790" w:rsidP="006C2A43">
            <w:pPr>
              <w:rPr>
                <w:rFonts w:eastAsia="Times New Roman"/>
                <w:color w:val="000000" w:themeColor="text1"/>
                <w:sz w:val="24"/>
                <w:szCs w:val="24"/>
                <w:lang w:eastAsia="en-GB"/>
              </w:rPr>
            </w:pPr>
            <w:r w:rsidRPr="00272BF8">
              <w:rPr>
                <w:rFonts w:cs="Calibri"/>
                <w:color w:val="C45911" w:themeColor="accent2" w:themeShade="BF"/>
                <w:sz w:val="12"/>
              </w:rPr>
              <w:t>Rare – 1</w:t>
            </w:r>
          </w:p>
        </w:tc>
        <w:tc>
          <w:tcPr>
            <w:tcW w:w="1162" w:type="dxa"/>
            <w:shd w:val="clear" w:color="auto" w:fill="BDD6EE" w:themeFill="accent5" w:themeFillTint="66"/>
            <w:vAlign w:val="center"/>
          </w:tcPr>
          <w:p w14:paraId="11B8E8CB" w14:textId="77777777" w:rsidR="00451790" w:rsidRPr="00272BF8" w:rsidRDefault="00451790" w:rsidP="006C2A43">
            <w:pPr>
              <w:rPr>
                <w:rFonts w:cs="Calibri"/>
                <w:b/>
                <w:color w:val="000000" w:themeColor="text1"/>
                <w:szCs w:val="24"/>
              </w:rPr>
            </w:pPr>
            <w:r w:rsidRPr="00272BF8">
              <w:rPr>
                <w:rFonts w:cs="Calibri"/>
                <w:b/>
                <w:color w:val="000000" w:themeColor="text1"/>
                <w:szCs w:val="24"/>
              </w:rPr>
              <w:t xml:space="preserve">Impact: </w:t>
            </w:r>
          </w:p>
          <w:p w14:paraId="7DC7692B" w14:textId="77777777" w:rsidR="00451790" w:rsidRPr="00272BF8" w:rsidRDefault="00451790" w:rsidP="006C2A43">
            <w:pPr>
              <w:jc w:val="both"/>
              <w:rPr>
                <w:rFonts w:eastAsia="Cambria" w:cs="Calibri"/>
                <w:color w:val="C45911" w:themeColor="accent2" w:themeShade="BF"/>
                <w:sz w:val="12"/>
              </w:rPr>
            </w:pPr>
            <w:r w:rsidRPr="00272BF8">
              <w:rPr>
                <w:rFonts w:eastAsia="Cambria" w:cs="Calibri"/>
                <w:color w:val="C45911" w:themeColor="accent2" w:themeShade="BF"/>
                <w:sz w:val="12"/>
              </w:rPr>
              <w:t>Essential – 5</w:t>
            </w:r>
          </w:p>
          <w:p w14:paraId="661A8404" w14:textId="77777777" w:rsidR="00451790" w:rsidRPr="00272BF8" w:rsidRDefault="00451790" w:rsidP="006C2A43">
            <w:pPr>
              <w:jc w:val="both"/>
              <w:rPr>
                <w:rFonts w:eastAsia="Cambria" w:cs="Calibri"/>
                <w:color w:val="C45911" w:themeColor="accent2" w:themeShade="BF"/>
                <w:sz w:val="12"/>
              </w:rPr>
            </w:pPr>
            <w:r w:rsidRPr="00272BF8">
              <w:rPr>
                <w:rFonts w:eastAsia="Cambria" w:cs="Calibri"/>
                <w:color w:val="C45911" w:themeColor="accent2" w:themeShade="BF"/>
                <w:sz w:val="12"/>
              </w:rPr>
              <w:t>Major - 4</w:t>
            </w:r>
          </w:p>
          <w:p w14:paraId="22476ECA" w14:textId="77777777" w:rsidR="00451790" w:rsidRPr="00272BF8" w:rsidRDefault="00451790" w:rsidP="006C2A43">
            <w:pPr>
              <w:jc w:val="both"/>
              <w:rPr>
                <w:rFonts w:eastAsia="Cambria" w:cs="Calibri"/>
                <w:color w:val="C45911" w:themeColor="accent2" w:themeShade="BF"/>
                <w:sz w:val="12"/>
              </w:rPr>
            </w:pPr>
            <w:r w:rsidRPr="00272BF8">
              <w:rPr>
                <w:rFonts w:eastAsia="Cambria" w:cs="Calibri"/>
                <w:color w:val="C45911" w:themeColor="accent2" w:themeShade="BF"/>
                <w:sz w:val="12"/>
              </w:rPr>
              <w:t>Moderate - 3</w:t>
            </w:r>
          </w:p>
          <w:p w14:paraId="2971ECFD" w14:textId="77777777" w:rsidR="00451790" w:rsidRPr="00272BF8" w:rsidRDefault="00451790" w:rsidP="006C2A43">
            <w:pPr>
              <w:jc w:val="both"/>
              <w:rPr>
                <w:rFonts w:eastAsia="Cambria" w:cs="Calibri"/>
                <w:color w:val="C45911" w:themeColor="accent2" w:themeShade="BF"/>
                <w:sz w:val="12"/>
              </w:rPr>
            </w:pPr>
            <w:r w:rsidRPr="00272BF8">
              <w:rPr>
                <w:rFonts w:eastAsia="Cambria" w:cs="Calibri"/>
                <w:color w:val="C45911" w:themeColor="accent2" w:themeShade="BF"/>
                <w:sz w:val="12"/>
              </w:rPr>
              <w:t>Minor - 2</w:t>
            </w:r>
          </w:p>
          <w:p w14:paraId="129D62D4" w14:textId="77777777" w:rsidR="00451790" w:rsidRPr="00272BF8" w:rsidRDefault="00451790" w:rsidP="006C2A43">
            <w:pPr>
              <w:jc w:val="both"/>
              <w:rPr>
                <w:rFonts w:eastAsia="Cambria" w:cs="Calibri"/>
                <w:color w:val="000000" w:themeColor="text1"/>
                <w:sz w:val="18"/>
                <w:szCs w:val="24"/>
              </w:rPr>
            </w:pPr>
            <w:r w:rsidRPr="00272BF8">
              <w:rPr>
                <w:rFonts w:eastAsia="Cambria" w:cs="Calibri"/>
                <w:color w:val="C45911" w:themeColor="accent2" w:themeShade="BF"/>
                <w:sz w:val="12"/>
              </w:rPr>
              <w:t>Insignificant - 1</w:t>
            </w:r>
          </w:p>
        </w:tc>
        <w:tc>
          <w:tcPr>
            <w:tcW w:w="3926" w:type="dxa"/>
            <w:shd w:val="clear" w:color="auto" w:fill="BDD6EE" w:themeFill="accent5" w:themeFillTint="66"/>
            <w:vAlign w:val="center"/>
          </w:tcPr>
          <w:p w14:paraId="3AE52C58" w14:textId="77777777" w:rsidR="00451790" w:rsidRPr="00272BF8" w:rsidRDefault="00451790" w:rsidP="006C2A43">
            <w:pPr>
              <w:jc w:val="center"/>
              <w:rPr>
                <w:rFonts w:eastAsia="Cambria" w:cs="Calibri"/>
                <w:b/>
                <w:color w:val="000000" w:themeColor="text1"/>
                <w:szCs w:val="24"/>
              </w:rPr>
            </w:pPr>
            <w:r w:rsidRPr="00272BF8">
              <w:rPr>
                <w:rFonts w:eastAsia="Cambria" w:cs="Calibri"/>
                <w:b/>
                <w:color w:val="000000" w:themeColor="text1"/>
                <w:szCs w:val="24"/>
              </w:rPr>
              <w:t>Mitigating measures</w:t>
            </w:r>
          </w:p>
        </w:tc>
        <w:tc>
          <w:tcPr>
            <w:tcW w:w="1474" w:type="dxa"/>
            <w:shd w:val="clear" w:color="auto" w:fill="BDD6EE" w:themeFill="accent5" w:themeFillTint="66"/>
            <w:vAlign w:val="center"/>
          </w:tcPr>
          <w:p w14:paraId="04E2F0D5" w14:textId="77777777" w:rsidR="00451790" w:rsidRPr="00272BF8" w:rsidRDefault="00451790" w:rsidP="006C2A43">
            <w:pPr>
              <w:jc w:val="center"/>
              <w:rPr>
                <w:rFonts w:eastAsia="Times New Roman"/>
                <w:color w:val="000000" w:themeColor="text1"/>
                <w:sz w:val="24"/>
                <w:szCs w:val="24"/>
                <w:lang w:eastAsia="en-GB"/>
              </w:rPr>
            </w:pPr>
            <w:r w:rsidRPr="00272BF8">
              <w:rPr>
                <w:rFonts w:eastAsia="Cambria" w:cs="Calibri"/>
                <w:b/>
                <w:color w:val="000000" w:themeColor="text1"/>
                <w:sz w:val="18"/>
                <w:szCs w:val="24"/>
              </w:rPr>
              <w:t>Responsible Org./Person</w:t>
            </w:r>
          </w:p>
        </w:tc>
      </w:tr>
      <w:tr w:rsidR="00451790" w:rsidRPr="00272BF8" w14:paraId="2D4B57DF" w14:textId="77777777" w:rsidTr="006C2A43">
        <w:trPr>
          <w:jc w:val="center"/>
        </w:trPr>
        <w:tc>
          <w:tcPr>
            <w:tcW w:w="13135" w:type="dxa"/>
            <w:gridSpan w:val="6"/>
            <w:shd w:val="clear" w:color="auto" w:fill="E7E6E6" w:themeFill="background2"/>
            <w:vAlign w:val="center"/>
          </w:tcPr>
          <w:p w14:paraId="0ACB1E05" w14:textId="77777777" w:rsidR="00451790" w:rsidRPr="00FD069E" w:rsidRDefault="00451790" w:rsidP="006C2A43">
            <w:pPr>
              <w:rPr>
                <w:rFonts w:eastAsia="Times New Roman"/>
                <w:b/>
                <w:bCs/>
                <w:color w:val="000000" w:themeColor="text1"/>
                <w:sz w:val="18"/>
                <w:szCs w:val="18"/>
                <w:lang w:eastAsia="en-GB"/>
              </w:rPr>
            </w:pPr>
            <w:r w:rsidRPr="00FD069E">
              <w:rPr>
                <w:rFonts w:eastAsia="Times New Roman"/>
                <w:b/>
                <w:bCs/>
                <w:color w:val="000000" w:themeColor="text1"/>
                <w:sz w:val="18"/>
                <w:szCs w:val="18"/>
                <w:lang w:eastAsia="en-GB"/>
              </w:rPr>
              <w:t>Contextual risks</w:t>
            </w:r>
          </w:p>
        </w:tc>
      </w:tr>
      <w:tr w:rsidR="00451790" w:rsidRPr="00272BF8" w14:paraId="301D638A" w14:textId="77777777" w:rsidTr="006C2A43">
        <w:trPr>
          <w:trHeight w:val="782"/>
          <w:jc w:val="center"/>
        </w:trPr>
        <w:tc>
          <w:tcPr>
            <w:tcW w:w="4016" w:type="dxa"/>
            <w:vAlign w:val="center"/>
          </w:tcPr>
          <w:p w14:paraId="53664CFD" w14:textId="2427657C" w:rsidR="001A24A0" w:rsidRDefault="001A24A0" w:rsidP="001A24A0">
            <w:pPr>
              <w:pStyle w:val="CommentText"/>
            </w:pPr>
            <w:r>
              <w:rPr>
                <w:rFonts w:eastAsia="Times New Roman"/>
                <w:sz w:val="18"/>
                <w:szCs w:val="18"/>
                <w:lang w:eastAsia="en-GB"/>
              </w:rPr>
              <w:t xml:space="preserve">Negative economic and financial implications due to </w:t>
            </w:r>
            <w:r w:rsidR="007D31A7">
              <w:rPr>
                <w:rFonts w:eastAsia="Times New Roman"/>
                <w:sz w:val="18"/>
                <w:szCs w:val="18"/>
                <w:lang w:eastAsia="en-GB"/>
              </w:rPr>
              <w:t xml:space="preserve">COVID-19 </w:t>
            </w:r>
            <w:r w:rsidRPr="00DE07E3">
              <w:rPr>
                <w:rFonts w:eastAsia="Times New Roman"/>
                <w:sz w:val="18"/>
                <w:szCs w:val="18"/>
                <w:lang w:val="en-GB" w:eastAsia="en-GB"/>
              </w:rPr>
              <w:t>that might lower the fiscal space and reduce the capacity of the Ministry of Finance to mobilize public resources for SDGs</w:t>
            </w:r>
          </w:p>
          <w:p w14:paraId="3E76C660" w14:textId="16A46E70" w:rsidR="00451790" w:rsidRPr="00CC6893" w:rsidRDefault="00451790" w:rsidP="006C2A43">
            <w:pPr>
              <w:rPr>
                <w:rFonts w:eastAsia="Times New Roman"/>
                <w:sz w:val="18"/>
                <w:szCs w:val="18"/>
                <w:lang w:eastAsia="en-GB"/>
              </w:rPr>
            </w:pPr>
          </w:p>
        </w:tc>
        <w:tc>
          <w:tcPr>
            <w:tcW w:w="1104" w:type="dxa"/>
            <w:vAlign w:val="center"/>
          </w:tcPr>
          <w:p w14:paraId="6DA52BD6" w14:textId="08CF0F26" w:rsidR="00451790" w:rsidRPr="00272BF8" w:rsidRDefault="007D31A7" w:rsidP="006C2A43">
            <w:pPr>
              <w:rPr>
                <w:rFonts w:eastAsia="Times New Roman"/>
                <w:color w:val="000000" w:themeColor="text1"/>
                <w:sz w:val="18"/>
                <w:szCs w:val="18"/>
                <w:lang w:eastAsia="en-GB"/>
              </w:rPr>
            </w:pPr>
            <w:r>
              <w:rPr>
                <w:rFonts w:eastAsia="Times New Roman"/>
                <w:color w:val="000000" w:themeColor="text1"/>
                <w:sz w:val="18"/>
                <w:szCs w:val="18"/>
                <w:lang w:eastAsia="en-GB"/>
              </w:rPr>
              <w:t xml:space="preserve">16 </w:t>
            </w:r>
            <w:r w:rsidR="00D9623E">
              <w:rPr>
                <w:rFonts w:eastAsia="Times New Roman"/>
                <w:color w:val="000000" w:themeColor="text1"/>
                <w:sz w:val="18"/>
                <w:szCs w:val="18"/>
                <w:lang w:eastAsia="en-GB"/>
              </w:rPr>
              <w:t>HIGH</w:t>
            </w:r>
          </w:p>
        </w:tc>
        <w:tc>
          <w:tcPr>
            <w:tcW w:w="1453" w:type="dxa"/>
            <w:vAlign w:val="center"/>
          </w:tcPr>
          <w:p w14:paraId="748F9E36" w14:textId="76D6A2BE" w:rsidR="00451790" w:rsidRPr="00272BF8" w:rsidRDefault="007D31A7" w:rsidP="006C2A43">
            <w:pPr>
              <w:rPr>
                <w:rFonts w:eastAsia="Times New Roman"/>
                <w:color w:val="000000" w:themeColor="text1"/>
                <w:sz w:val="18"/>
                <w:szCs w:val="18"/>
                <w:lang w:eastAsia="en-GB"/>
              </w:rPr>
            </w:pPr>
            <w:r>
              <w:rPr>
                <w:rFonts w:eastAsia="Times New Roman"/>
                <w:color w:val="000000" w:themeColor="text1"/>
                <w:sz w:val="18"/>
                <w:szCs w:val="18"/>
                <w:lang w:eastAsia="en-GB"/>
              </w:rPr>
              <w:t>4</w:t>
            </w:r>
          </w:p>
        </w:tc>
        <w:tc>
          <w:tcPr>
            <w:tcW w:w="1162" w:type="dxa"/>
            <w:vAlign w:val="center"/>
          </w:tcPr>
          <w:p w14:paraId="44B565FE" w14:textId="77777777" w:rsidR="00451790" w:rsidRPr="00272BF8" w:rsidRDefault="00451790" w:rsidP="006C2A43">
            <w:pPr>
              <w:rPr>
                <w:rFonts w:eastAsia="Times New Roman"/>
                <w:color w:val="000000" w:themeColor="text1"/>
                <w:sz w:val="18"/>
                <w:szCs w:val="18"/>
                <w:lang w:eastAsia="en-GB"/>
              </w:rPr>
            </w:pPr>
            <w:r>
              <w:rPr>
                <w:rFonts w:eastAsia="Times New Roman"/>
                <w:color w:val="000000" w:themeColor="text1"/>
                <w:sz w:val="18"/>
                <w:szCs w:val="18"/>
                <w:lang w:eastAsia="en-GB"/>
              </w:rPr>
              <w:t>4</w:t>
            </w:r>
          </w:p>
        </w:tc>
        <w:tc>
          <w:tcPr>
            <w:tcW w:w="3926" w:type="dxa"/>
            <w:vAlign w:val="center"/>
          </w:tcPr>
          <w:p w14:paraId="7E169C28" w14:textId="77777777" w:rsidR="00451790" w:rsidRDefault="00451790" w:rsidP="006C2A43">
            <w:pPr>
              <w:rPr>
                <w:rFonts w:eastAsia="Times New Roman"/>
                <w:color w:val="000000" w:themeColor="text1"/>
                <w:sz w:val="18"/>
                <w:szCs w:val="18"/>
                <w:lang w:eastAsia="en-GB"/>
              </w:rPr>
            </w:pPr>
            <w:r>
              <w:rPr>
                <w:rFonts w:eastAsia="Times New Roman"/>
                <w:color w:val="000000" w:themeColor="text1"/>
                <w:sz w:val="18"/>
                <w:szCs w:val="18"/>
                <w:lang w:eastAsia="en-GB"/>
              </w:rPr>
              <w:t xml:space="preserve">Advocacy on cost effective and containment measures to reserve limited public resources </w:t>
            </w:r>
          </w:p>
          <w:p w14:paraId="4471B766" w14:textId="77777777" w:rsidR="00451790" w:rsidRDefault="00451790" w:rsidP="006C2A43">
            <w:pPr>
              <w:rPr>
                <w:rFonts w:eastAsia="Times New Roman"/>
                <w:color w:val="000000" w:themeColor="text1"/>
                <w:sz w:val="18"/>
                <w:szCs w:val="18"/>
                <w:lang w:eastAsia="en-GB"/>
              </w:rPr>
            </w:pPr>
          </w:p>
          <w:p w14:paraId="59958A1D" w14:textId="77777777" w:rsidR="00451790" w:rsidRPr="00272BF8" w:rsidRDefault="00451790" w:rsidP="006C2A43">
            <w:pPr>
              <w:rPr>
                <w:rFonts w:eastAsia="Times New Roman"/>
                <w:color w:val="000000" w:themeColor="text1"/>
                <w:sz w:val="18"/>
                <w:szCs w:val="18"/>
                <w:lang w:eastAsia="en-GB"/>
              </w:rPr>
            </w:pPr>
            <w:r>
              <w:rPr>
                <w:rFonts w:eastAsia="Times New Roman"/>
                <w:color w:val="000000" w:themeColor="text1"/>
                <w:sz w:val="18"/>
                <w:szCs w:val="18"/>
                <w:lang w:eastAsia="en-GB"/>
              </w:rPr>
              <w:t>Mobilize resources from other sources (private sector, organizations and aids etc..)</w:t>
            </w:r>
          </w:p>
        </w:tc>
        <w:tc>
          <w:tcPr>
            <w:tcW w:w="1474" w:type="dxa"/>
            <w:vAlign w:val="center"/>
          </w:tcPr>
          <w:p w14:paraId="58E04E01" w14:textId="77777777" w:rsidR="00451790" w:rsidRPr="00272BF8" w:rsidRDefault="00451790" w:rsidP="006C2A43">
            <w:pPr>
              <w:rPr>
                <w:rFonts w:eastAsia="Times New Roman"/>
                <w:color w:val="000000" w:themeColor="text1"/>
                <w:sz w:val="18"/>
                <w:szCs w:val="18"/>
                <w:lang w:eastAsia="en-GB"/>
              </w:rPr>
            </w:pPr>
            <w:r>
              <w:rPr>
                <w:rFonts w:eastAsia="Times New Roman"/>
                <w:color w:val="000000" w:themeColor="text1"/>
                <w:sz w:val="18"/>
                <w:szCs w:val="18"/>
                <w:lang w:eastAsia="en-GB"/>
              </w:rPr>
              <w:t>PUNOs</w:t>
            </w:r>
          </w:p>
        </w:tc>
      </w:tr>
      <w:tr w:rsidR="00451790" w:rsidRPr="00272BF8" w14:paraId="147B3565" w14:textId="77777777" w:rsidTr="006C2A43">
        <w:trPr>
          <w:trHeight w:val="2060"/>
          <w:jc w:val="center"/>
        </w:trPr>
        <w:tc>
          <w:tcPr>
            <w:tcW w:w="4016" w:type="dxa"/>
            <w:vAlign w:val="center"/>
          </w:tcPr>
          <w:p w14:paraId="7280838A" w14:textId="77777777" w:rsidR="00451790" w:rsidRPr="00CC6893" w:rsidRDefault="00451790" w:rsidP="006C2A43">
            <w:pPr>
              <w:rPr>
                <w:rFonts w:eastAsia="Times New Roman"/>
                <w:sz w:val="18"/>
                <w:szCs w:val="18"/>
                <w:lang w:eastAsia="en-GB"/>
              </w:rPr>
            </w:pPr>
            <w:r>
              <w:rPr>
                <w:rFonts w:eastAsia="Times New Roman"/>
                <w:sz w:val="18"/>
                <w:szCs w:val="18"/>
                <w:lang w:eastAsia="en-GB"/>
              </w:rPr>
              <w:lastRenderedPageBreak/>
              <w:t>Political instability in the current government administration (political coalition) could change existing composition of policy level decision makers</w:t>
            </w:r>
          </w:p>
        </w:tc>
        <w:tc>
          <w:tcPr>
            <w:tcW w:w="1104" w:type="dxa"/>
            <w:vAlign w:val="center"/>
          </w:tcPr>
          <w:p w14:paraId="4743403D" w14:textId="77777777" w:rsidR="00451790" w:rsidRPr="00272BF8" w:rsidRDefault="00451790" w:rsidP="006C2A43">
            <w:pPr>
              <w:rPr>
                <w:rFonts w:eastAsia="Times New Roman"/>
                <w:color w:val="000000" w:themeColor="text1"/>
                <w:sz w:val="18"/>
                <w:szCs w:val="18"/>
                <w:lang w:eastAsia="en-GB"/>
              </w:rPr>
            </w:pPr>
            <w:r>
              <w:rPr>
                <w:rFonts w:eastAsia="Times New Roman"/>
                <w:color w:val="000000" w:themeColor="text1"/>
                <w:sz w:val="18"/>
                <w:szCs w:val="18"/>
                <w:lang w:eastAsia="en-GB"/>
              </w:rPr>
              <w:t>2 Low</w:t>
            </w:r>
          </w:p>
        </w:tc>
        <w:tc>
          <w:tcPr>
            <w:tcW w:w="1453" w:type="dxa"/>
            <w:vAlign w:val="center"/>
          </w:tcPr>
          <w:p w14:paraId="7A044EC8" w14:textId="77777777" w:rsidR="00451790" w:rsidRPr="00272BF8" w:rsidRDefault="00451790" w:rsidP="006C2A43">
            <w:pPr>
              <w:rPr>
                <w:rFonts w:eastAsia="Times New Roman"/>
                <w:color w:val="000000" w:themeColor="text1"/>
                <w:sz w:val="18"/>
                <w:szCs w:val="18"/>
                <w:lang w:eastAsia="en-GB"/>
              </w:rPr>
            </w:pPr>
            <w:r>
              <w:rPr>
                <w:rFonts w:eastAsia="Times New Roman"/>
                <w:color w:val="000000" w:themeColor="text1"/>
                <w:sz w:val="18"/>
                <w:szCs w:val="18"/>
                <w:lang w:eastAsia="en-GB"/>
              </w:rPr>
              <w:t>1</w:t>
            </w:r>
          </w:p>
        </w:tc>
        <w:tc>
          <w:tcPr>
            <w:tcW w:w="1162" w:type="dxa"/>
            <w:vAlign w:val="center"/>
          </w:tcPr>
          <w:p w14:paraId="124F3AB5" w14:textId="77777777" w:rsidR="00451790" w:rsidRPr="00272BF8" w:rsidRDefault="00451790" w:rsidP="006C2A43">
            <w:pPr>
              <w:rPr>
                <w:rFonts w:eastAsia="Times New Roman"/>
                <w:color w:val="000000" w:themeColor="text1"/>
                <w:sz w:val="18"/>
                <w:szCs w:val="18"/>
                <w:lang w:eastAsia="en-GB"/>
              </w:rPr>
            </w:pPr>
            <w:r>
              <w:rPr>
                <w:rFonts w:eastAsia="Times New Roman"/>
                <w:color w:val="000000" w:themeColor="text1"/>
                <w:sz w:val="18"/>
                <w:szCs w:val="18"/>
                <w:lang w:eastAsia="en-GB"/>
              </w:rPr>
              <w:t>2</w:t>
            </w:r>
          </w:p>
        </w:tc>
        <w:tc>
          <w:tcPr>
            <w:tcW w:w="3926" w:type="dxa"/>
            <w:vAlign w:val="center"/>
          </w:tcPr>
          <w:p w14:paraId="048BE289" w14:textId="77777777" w:rsidR="00451790" w:rsidRDefault="00451790" w:rsidP="006C2A43">
            <w:pPr>
              <w:rPr>
                <w:rFonts w:eastAsia="Times New Roman"/>
                <w:color w:val="000000" w:themeColor="text1"/>
                <w:sz w:val="18"/>
                <w:szCs w:val="18"/>
                <w:lang w:eastAsia="en-GB"/>
              </w:rPr>
            </w:pPr>
            <w:r>
              <w:rPr>
                <w:rFonts w:eastAsia="Times New Roman"/>
                <w:color w:val="000000" w:themeColor="text1"/>
                <w:sz w:val="18"/>
                <w:szCs w:val="18"/>
                <w:lang w:eastAsia="en-GB"/>
              </w:rPr>
              <w:t>Conduct advocacy sessions to policy level decision makers to educate and inform on the need</w:t>
            </w:r>
            <w:r w:rsidRPr="003069A9">
              <w:rPr>
                <w:rFonts w:eastAsia="Times New Roman"/>
                <w:color w:val="000000" w:themeColor="text1"/>
                <w:sz w:val="18"/>
                <w:szCs w:val="18"/>
                <w:lang w:eastAsia="en-GB"/>
              </w:rPr>
              <w:t xml:space="preserve"> for prioritization</w:t>
            </w:r>
            <w:r>
              <w:rPr>
                <w:rFonts w:eastAsia="Times New Roman"/>
                <w:color w:val="000000" w:themeColor="text1"/>
                <w:sz w:val="18"/>
                <w:szCs w:val="18"/>
                <w:lang w:eastAsia="en-GB"/>
              </w:rPr>
              <w:t xml:space="preserve"> of JP activities</w:t>
            </w:r>
          </w:p>
          <w:p w14:paraId="057E5EC4" w14:textId="77777777" w:rsidR="00451790" w:rsidRDefault="00451790" w:rsidP="006C2A43">
            <w:pPr>
              <w:rPr>
                <w:rFonts w:eastAsia="Times New Roman"/>
                <w:color w:val="000000" w:themeColor="text1"/>
                <w:sz w:val="18"/>
                <w:szCs w:val="18"/>
                <w:lang w:eastAsia="en-GB"/>
              </w:rPr>
            </w:pPr>
          </w:p>
          <w:p w14:paraId="5C063322" w14:textId="77777777" w:rsidR="00451790" w:rsidRDefault="00451790" w:rsidP="006C2A43">
            <w:pPr>
              <w:rPr>
                <w:rFonts w:eastAsia="Times New Roman"/>
                <w:color w:val="000000" w:themeColor="text1"/>
                <w:sz w:val="18"/>
                <w:szCs w:val="18"/>
                <w:lang w:eastAsia="en-GB"/>
              </w:rPr>
            </w:pPr>
            <w:r>
              <w:rPr>
                <w:rFonts w:eastAsia="Times New Roman"/>
                <w:color w:val="000000" w:themeColor="text1"/>
                <w:sz w:val="18"/>
                <w:szCs w:val="18"/>
                <w:lang w:eastAsia="en-GB"/>
              </w:rPr>
              <w:t>Develop evidence-based policy briefs informing on the long term positive impacts and expected outcome of the activities</w:t>
            </w:r>
          </w:p>
          <w:p w14:paraId="74E48673" w14:textId="77777777" w:rsidR="00451790" w:rsidRDefault="00451790" w:rsidP="006C2A43">
            <w:pPr>
              <w:rPr>
                <w:rFonts w:eastAsia="Times New Roman"/>
                <w:color w:val="000000" w:themeColor="text1"/>
                <w:sz w:val="18"/>
                <w:szCs w:val="18"/>
                <w:lang w:eastAsia="en-GB"/>
              </w:rPr>
            </w:pPr>
          </w:p>
          <w:p w14:paraId="7E06E794" w14:textId="77777777" w:rsidR="00451790" w:rsidRPr="003069A9" w:rsidRDefault="00451790" w:rsidP="006C2A43">
            <w:pPr>
              <w:rPr>
                <w:rFonts w:eastAsia="Times New Roman"/>
                <w:color w:val="000000" w:themeColor="text1"/>
                <w:sz w:val="18"/>
                <w:szCs w:val="18"/>
                <w:lang w:eastAsia="en-GB"/>
              </w:rPr>
            </w:pPr>
            <w:r>
              <w:rPr>
                <w:rFonts w:eastAsia="Times New Roman"/>
                <w:color w:val="000000" w:themeColor="text1"/>
                <w:sz w:val="18"/>
                <w:szCs w:val="18"/>
                <w:lang w:eastAsia="en-GB"/>
              </w:rPr>
              <w:t xml:space="preserve">Engage with High Ranked Civil Servants to ensure continuity of the project </w:t>
            </w:r>
          </w:p>
        </w:tc>
        <w:tc>
          <w:tcPr>
            <w:tcW w:w="1474" w:type="dxa"/>
            <w:vAlign w:val="center"/>
          </w:tcPr>
          <w:p w14:paraId="69EF1811" w14:textId="77777777" w:rsidR="00451790" w:rsidRPr="00272BF8" w:rsidRDefault="00451790" w:rsidP="006C2A43">
            <w:pPr>
              <w:rPr>
                <w:rFonts w:eastAsia="Times New Roman"/>
                <w:color w:val="000000" w:themeColor="text1"/>
                <w:sz w:val="18"/>
                <w:szCs w:val="18"/>
                <w:lang w:eastAsia="en-GB"/>
              </w:rPr>
            </w:pPr>
            <w:r>
              <w:rPr>
                <w:rFonts w:eastAsia="Times New Roman"/>
                <w:color w:val="000000" w:themeColor="text1"/>
                <w:sz w:val="18"/>
                <w:szCs w:val="18"/>
                <w:lang w:eastAsia="en-GB"/>
              </w:rPr>
              <w:t>PUNOs</w:t>
            </w:r>
          </w:p>
        </w:tc>
      </w:tr>
      <w:tr w:rsidR="00451790" w:rsidRPr="00272BF8" w14:paraId="2E751FE7" w14:textId="77777777" w:rsidTr="006C2A43">
        <w:trPr>
          <w:trHeight w:val="278"/>
          <w:jc w:val="center"/>
        </w:trPr>
        <w:tc>
          <w:tcPr>
            <w:tcW w:w="13135" w:type="dxa"/>
            <w:gridSpan w:val="6"/>
            <w:shd w:val="clear" w:color="auto" w:fill="E7E6E6" w:themeFill="background2"/>
            <w:vAlign w:val="center"/>
          </w:tcPr>
          <w:p w14:paraId="55BC28C6" w14:textId="77777777" w:rsidR="00451790" w:rsidRPr="00745D57" w:rsidRDefault="00451790" w:rsidP="006C2A43">
            <w:pPr>
              <w:rPr>
                <w:b/>
                <w:color w:val="000000" w:themeColor="text1"/>
                <w:sz w:val="18"/>
              </w:rPr>
            </w:pPr>
            <w:r w:rsidRPr="00745D57">
              <w:rPr>
                <w:b/>
                <w:color w:val="000000" w:themeColor="text1"/>
                <w:sz w:val="18"/>
              </w:rPr>
              <w:t>Programmatic risks</w:t>
            </w:r>
          </w:p>
        </w:tc>
      </w:tr>
      <w:tr w:rsidR="00451790" w:rsidRPr="00272BF8" w14:paraId="0B7150EC" w14:textId="77777777" w:rsidTr="006C2A43">
        <w:trPr>
          <w:jc w:val="center"/>
        </w:trPr>
        <w:tc>
          <w:tcPr>
            <w:tcW w:w="4016" w:type="dxa"/>
            <w:vAlign w:val="center"/>
          </w:tcPr>
          <w:p w14:paraId="5E55B0F1" w14:textId="77777777" w:rsidR="00451790" w:rsidRPr="003069A9" w:rsidRDefault="00451790" w:rsidP="006C2A43">
            <w:pPr>
              <w:rPr>
                <w:rFonts w:eastAsia="Times New Roman"/>
                <w:sz w:val="4"/>
                <w:szCs w:val="4"/>
                <w:lang w:eastAsia="en-GB"/>
              </w:rPr>
            </w:pPr>
          </w:p>
          <w:p w14:paraId="1871E718" w14:textId="77777777" w:rsidR="00451790" w:rsidRDefault="00451790" w:rsidP="006C2A43">
            <w:pPr>
              <w:rPr>
                <w:rFonts w:eastAsia="Times New Roman"/>
                <w:sz w:val="18"/>
                <w:szCs w:val="18"/>
                <w:lang w:eastAsia="en-GB"/>
              </w:rPr>
            </w:pPr>
            <w:r w:rsidRPr="00CC6893">
              <w:rPr>
                <w:rFonts w:eastAsia="Times New Roman"/>
                <w:sz w:val="18"/>
                <w:szCs w:val="18"/>
                <w:lang w:eastAsia="en-GB"/>
              </w:rPr>
              <w:t>Delay in implementation by the partners</w:t>
            </w:r>
          </w:p>
          <w:p w14:paraId="64BB3984" w14:textId="77777777" w:rsidR="00451790" w:rsidRPr="003069A9" w:rsidRDefault="00451790" w:rsidP="006C2A43">
            <w:pPr>
              <w:rPr>
                <w:rFonts w:eastAsia="Times New Roman"/>
                <w:sz w:val="8"/>
                <w:szCs w:val="8"/>
                <w:lang w:eastAsia="en-GB"/>
              </w:rPr>
            </w:pPr>
          </w:p>
        </w:tc>
        <w:tc>
          <w:tcPr>
            <w:tcW w:w="1104" w:type="dxa"/>
            <w:vAlign w:val="center"/>
          </w:tcPr>
          <w:p w14:paraId="7D9A66D3" w14:textId="77777777" w:rsidR="00451790" w:rsidRPr="00CC6893" w:rsidRDefault="00451790" w:rsidP="006C2A43">
            <w:pPr>
              <w:rPr>
                <w:rFonts w:eastAsia="Times New Roman"/>
                <w:sz w:val="18"/>
                <w:szCs w:val="18"/>
                <w:lang w:eastAsia="en-GB"/>
              </w:rPr>
            </w:pPr>
            <w:r>
              <w:rPr>
                <w:rFonts w:eastAsia="Times New Roman"/>
                <w:sz w:val="18"/>
                <w:szCs w:val="18"/>
                <w:lang w:eastAsia="en-GB"/>
              </w:rPr>
              <w:t>3 Medium</w:t>
            </w:r>
          </w:p>
        </w:tc>
        <w:tc>
          <w:tcPr>
            <w:tcW w:w="1453" w:type="dxa"/>
            <w:vAlign w:val="center"/>
          </w:tcPr>
          <w:p w14:paraId="27679FBE" w14:textId="77777777" w:rsidR="00451790" w:rsidRPr="00CC6893" w:rsidRDefault="00451790" w:rsidP="006C2A43">
            <w:pPr>
              <w:rPr>
                <w:rFonts w:eastAsia="Times New Roman"/>
                <w:sz w:val="18"/>
                <w:szCs w:val="18"/>
                <w:lang w:eastAsia="en-GB"/>
              </w:rPr>
            </w:pPr>
            <w:r>
              <w:rPr>
                <w:rFonts w:eastAsia="Times New Roman"/>
                <w:sz w:val="18"/>
                <w:szCs w:val="18"/>
                <w:lang w:eastAsia="en-GB"/>
              </w:rPr>
              <w:t>1</w:t>
            </w:r>
          </w:p>
        </w:tc>
        <w:tc>
          <w:tcPr>
            <w:tcW w:w="1162" w:type="dxa"/>
            <w:vAlign w:val="center"/>
          </w:tcPr>
          <w:p w14:paraId="4D6815DD" w14:textId="77777777" w:rsidR="00451790" w:rsidRPr="00CC6893" w:rsidRDefault="00451790" w:rsidP="006C2A43">
            <w:pPr>
              <w:rPr>
                <w:rFonts w:eastAsia="Times New Roman"/>
                <w:sz w:val="18"/>
                <w:szCs w:val="18"/>
                <w:lang w:eastAsia="en-GB"/>
              </w:rPr>
            </w:pPr>
            <w:r>
              <w:rPr>
                <w:rFonts w:eastAsia="Times New Roman"/>
                <w:sz w:val="18"/>
                <w:szCs w:val="18"/>
                <w:lang w:eastAsia="en-GB"/>
              </w:rPr>
              <w:t xml:space="preserve">3 </w:t>
            </w:r>
          </w:p>
        </w:tc>
        <w:tc>
          <w:tcPr>
            <w:tcW w:w="3926" w:type="dxa"/>
            <w:vAlign w:val="center"/>
          </w:tcPr>
          <w:p w14:paraId="2D1B90F5" w14:textId="77777777" w:rsidR="00451790" w:rsidRPr="00CC6893" w:rsidRDefault="00451790" w:rsidP="006C2A43">
            <w:pPr>
              <w:rPr>
                <w:rFonts w:eastAsia="Times New Roman"/>
                <w:sz w:val="18"/>
                <w:szCs w:val="18"/>
                <w:lang w:eastAsia="en-GB"/>
              </w:rPr>
            </w:pPr>
            <w:r>
              <w:rPr>
                <w:rFonts w:eastAsia="Times New Roman"/>
                <w:sz w:val="18"/>
                <w:szCs w:val="18"/>
                <w:lang w:eastAsia="en-GB"/>
              </w:rPr>
              <w:t xml:space="preserve">Regular meeting of “oversight committee” for monitoring progress and addressing challenges in implementation </w:t>
            </w:r>
          </w:p>
        </w:tc>
        <w:tc>
          <w:tcPr>
            <w:tcW w:w="1474" w:type="dxa"/>
            <w:vAlign w:val="center"/>
          </w:tcPr>
          <w:p w14:paraId="1594E065" w14:textId="77777777" w:rsidR="00451790" w:rsidRPr="00CC6893" w:rsidRDefault="00451790" w:rsidP="006C2A43">
            <w:pPr>
              <w:rPr>
                <w:rFonts w:eastAsia="Times New Roman"/>
                <w:sz w:val="18"/>
                <w:szCs w:val="18"/>
                <w:lang w:eastAsia="en-GB"/>
              </w:rPr>
            </w:pPr>
            <w:r w:rsidRPr="0067404F">
              <w:rPr>
                <w:rFonts w:eastAsia="Times New Roman"/>
                <w:sz w:val="18"/>
                <w:szCs w:val="18"/>
                <w:lang w:eastAsia="en-GB"/>
              </w:rPr>
              <w:t>PUNOs</w:t>
            </w:r>
          </w:p>
        </w:tc>
      </w:tr>
      <w:tr w:rsidR="00451790" w:rsidRPr="00272BF8" w14:paraId="629959AF" w14:textId="77777777" w:rsidTr="006C2A43">
        <w:trPr>
          <w:trHeight w:val="800"/>
          <w:jc w:val="center"/>
        </w:trPr>
        <w:tc>
          <w:tcPr>
            <w:tcW w:w="4016" w:type="dxa"/>
            <w:vAlign w:val="center"/>
          </w:tcPr>
          <w:p w14:paraId="153A1320" w14:textId="77777777" w:rsidR="00451790" w:rsidRPr="00CC6893" w:rsidRDefault="00451790" w:rsidP="006C2A43">
            <w:pPr>
              <w:rPr>
                <w:rFonts w:eastAsia="Times New Roman"/>
                <w:sz w:val="18"/>
                <w:szCs w:val="18"/>
                <w:lang w:eastAsia="en-GB"/>
              </w:rPr>
            </w:pPr>
            <w:r w:rsidRPr="00CC6893">
              <w:rPr>
                <w:rFonts w:eastAsia="Times New Roman"/>
                <w:sz w:val="18"/>
                <w:szCs w:val="18"/>
                <w:lang w:eastAsia="en-GB"/>
              </w:rPr>
              <w:t>Limited technical resources and capacity in government</w:t>
            </w:r>
            <w:r>
              <w:rPr>
                <w:rFonts w:eastAsia="Times New Roman"/>
                <w:sz w:val="18"/>
                <w:szCs w:val="18"/>
                <w:lang w:eastAsia="en-GB"/>
              </w:rPr>
              <w:t xml:space="preserve"> for implementation</w:t>
            </w:r>
          </w:p>
        </w:tc>
        <w:tc>
          <w:tcPr>
            <w:tcW w:w="1104" w:type="dxa"/>
            <w:vAlign w:val="center"/>
          </w:tcPr>
          <w:p w14:paraId="6FFC7E9A" w14:textId="77777777" w:rsidR="00451790" w:rsidRPr="00CC6893" w:rsidRDefault="00451790" w:rsidP="006C2A43">
            <w:pPr>
              <w:rPr>
                <w:rFonts w:eastAsia="Times New Roman"/>
                <w:sz w:val="18"/>
                <w:szCs w:val="18"/>
                <w:lang w:eastAsia="en-GB"/>
              </w:rPr>
            </w:pPr>
            <w:r>
              <w:rPr>
                <w:rFonts w:eastAsia="Times New Roman"/>
                <w:sz w:val="18"/>
                <w:szCs w:val="18"/>
                <w:lang w:eastAsia="en-GB"/>
              </w:rPr>
              <w:t>4 Low</w:t>
            </w:r>
          </w:p>
        </w:tc>
        <w:tc>
          <w:tcPr>
            <w:tcW w:w="1453" w:type="dxa"/>
            <w:vAlign w:val="center"/>
          </w:tcPr>
          <w:p w14:paraId="4491BAD4" w14:textId="77777777" w:rsidR="00451790" w:rsidRPr="00CC6893" w:rsidRDefault="00451790" w:rsidP="006C2A43">
            <w:pPr>
              <w:rPr>
                <w:rFonts w:eastAsia="Times New Roman"/>
                <w:sz w:val="18"/>
                <w:szCs w:val="18"/>
                <w:lang w:eastAsia="en-GB"/>
              </w:rPr>
            </w:pPr>
            <w:r>
              <w:rPr>
                <w:rFonts w:eastAsia="Times New Roman"/>
                <w:sz w:val="18"/>
                <w:szCs w:val="18"/>
                <w:lang w:eastAsia="en-GB"/>
              </w:rPr>
              <w:t>2</w:t>
            </w:r>
          </w:p>
        </w:tc>
        <w:tc>
          <w:tcPr>
            <w:tcW w:w="1162" w:type="dxa"/>
            <w:vAlign w:val="center"/>
          </w:tcPr>
          <w:p w14:paraId="25B92B9D" w14:textId="77777777" w:rsidR="00451790" w:rsidRPr="00CC6893" w:rsidRDefault="00451790" w:rsidP="006C2A43">
            <w:pPr>
              <w:rPr>
                <w:rFonts w:eastAsia="Times New Roman"/>
                <w:sz w:val="18"/>
                <w:szCs w:val="18"/>
                <w:lang w:eastAsia="en-GB"/>
              </w:rPr>
            </w:pPr>
            <w:r>
              <w:rPr>
                <w:rFonts w:eastAsia="Times New Roman"/>
                <w:sz w:val="18"/>
                <w:szCs w:val="18"/>
                <w:lang w:eastAsia="en-GB"/>
              </w:rPr>
              <w:t>2</w:t>
            </w:r>
          </w:p>
        </w:tc>
        <w:tc>
          <w:tcPr>
            <w:tcW w:w="3926" w:type="dxa"/>
            <w:vAlign w:val="center"/>
          </w:tcPr>
          <w:p w14:paraId="4BCADC48" w14:textId="77777777" w:rsidR="00451790" w:rsidRPr="00CC6893" w:rsidRDefault="00451790" w:rsidP="006C2A43">
            <w:pPr>
              <w:rPr>
                <w:rFonts w:eastAsia="Times New Roman"/>
                <w:sz w:val="18"/>
                <w:szCs w:val="18"/>
                <w:lang w:eastAsia="en-GB"/>
              </w:rPr>
            </w:pPr>
            <w:r>
              <w:rPr>
                <w:rFonts w:eastAsia="Times New Roman"/>
                <w:sz w:val="18"/>
                <w:szCs w:val="18"/>
                <w:lang w:eastAsia="en-GB"/>
              </w:rPr>
              <w:t>Ongoing c</w:t>
            </w:r>
            <w:r w:rsidRPr="00CC6893">
              <w:rPr>
                <w:rFonts w:eastAsia="Times New Roman"/>
                <w:sz w:val="18"/>
                <w:szCs w:val="18"/>
                <w:lang w:eastAsia="en-GB"/>
              </w:rPr>
              <w:t>apacity building</w:t>
            </w:r>
            <w:r>
              <w:rPr>
                <w:rFonts w:eastAsia="Times New Roman"/>
                <w:sz w:val="18"/>
                <w:szCs w:val="18"/>
                <w:lang w:eastAsia="en-GB"/>
              </w:rPr>
              <w:t xml:space="preserve"> of staff </w:t>
            </w:r>
          </w:p>
        </w:tc>
        <w:tc>
          <w:tcPr>
            <w:tcW w:w="1474" w:type="dxa"/>
            <w:vAlign w:val="center"/>
          </w:tcPr>
          <w:p w14:paraId="4071A37A" w14:textId="75BEB8CD" w:rsidR="00451790" w:rsidRPr="00CC6893" w:rsidRDefault="00451790" w:rsidP="006C2A43">
            <w:pPr>
              <w:rPr>
                <w:rFonts w:eastAsia="Times New Roman"/>
                <w:sz w:val="18"/>
                <w:szCs w:val="18"/>
                <w:lang w:eastAsia="en-GB"/>
              </w:rPr>
            </w:pPr>
            <w:r w:rsidRPr="0067404F">
              <w:rPr>
                <w:rFonts w:eastAsia="Times New Roman"/>
                <w:sz w:val="18"/>
                <w:szCs w:val="18"/>
                <w:lang w:eastAsia="en-GB"/>
              </w:rPr>
              <w:t>PUNOs</w:t>
            </w:r>
            <w:r w:rsidR="00252126">
              <w:rPr>
                <w:rFonts w:eastAsia="Times New Roman"/>
                <w:sz w:val="18"/>
                <w:szCs w:val="18"/>
                <w:lang w:eastAsia="en-GB"/>
              </w:rPr>
              <w:t>/ INFF oversight Committee</w:t>
            </w:r>
          </w:p>
        </w:tc>
      </w:tr>
      <w:tr w:rsidR="00451790" w:rsidRPr="00272BF8" w14:paraId="75F5DF3A" w14:textId="77777777" w:rsidTr="006C2A43">
        <w:trPr>
          <w:trHeight w:val="773"/>
          <w:jc w:val="center"/>
        </w:trPr>
        <w:tc>
          <w:tcPr>
            <w:tcW w:w="4016" w:type="dxa"/>
            <w:vAlign w:val="center"/>
          </w:tcPr>
          <w:p w14:paraId="30126AAA" w14:textId="77777777" w:rsidR="00451790" w:rsidRPr="00CC6893" w:rsidRDefault="00451790" w:rsidP="006C2A43">
            <w:pPr>
              <w:rPr>
                <w:rFonts w:eastAsia="Times New Roman"/>
                <w:sz w:val="18"/>
                <w:szCs w:val="18"/>
                <w:lang w:eastAsia="en-GB"/>
              </w:rPr>
            </w:pPr>
            <w:r w:rsidRPr="00CC6893">
              <w:rPr>
                <w:rFonts w:eastAsia="Times New Roman"/>
                <w:sz w:val="18"/>
                <w:szCs w:val="18"/>
                <w:lang w:eastAsia="en-GB"/>
              </w:rPr>
              <w:t>Intersectoral collaboration, coordination and communication within government</w:t>
            </w:r>
            <w:r>
              <w:rPr>
                <w:rFonts w:eastAsia="Times New Roman"/>
                <w:sz w:val="18"/>
                <w:szCs w:val="18"/>
                <w:lang w:eastAsia="en-GB"/>
              </w:rPr>
              <w:t xml:space="preserve"> counterparts</w:t>
            </w:r>
          </w:p>
        </w:tc>
        <w:tc>
          <w:tcPr>
            <w:tcW w:w="1104" w:type="dxa"/>
            <w:vAlign w:val="center"/>
          </w:tcPr>
          <w:p w14:paraId="4D92B84D" w14:textId="77777777" w:rsidR="00451790" w:rsidRPr="00272BF8" w:rsidRDefault="00451790" w:rsidP="006C2A43">
            <w:pPr>
              <w:rPr>
                <w:rFonts w:eastAsia="Times New Roman"/>
                <w:color w:val="000000" w:themeColor="text1"/>
                <w:sz w:val="18"/>
                <w:szCs w:val="18"/>
                <w:lang w:eastAsia="en-GB"/>
              </w:rPr>
            </w:pPr>
            <w:r>
              <w:rPr>
                <w:rFonts w:eastAsia="Times New Roman"/>
                <w:color w:val="000000" w:themeColor="text1"/>
                <w:sz w:val="18"/>
                <w:szCs w:val="18"/>
                <w:lang w:eastAsia="en-GB"/>
              </w:rPr>
              <w:t>6 Medium</w:t>
            </w:r>
          </w:p>
        </w:tc>
        <w:tc>
          <w:tcPr>
            <w:tcW w:w="1453" w:type="dxa"/>
            <w:vAlign w:val="center"/>
          </w:tcPr>
          <w:p w14:paraId="10B532D3" w14:textId="77777777" w:rsidR="00451790" w:rsidRPr="00272BF8" w:rsidRDefault="00451790" w:rsidP="006C2A43">
            <w:pPr>
              <w:rPr>
                <w:rFonts w:eastAsia="Times New Roman"/>
                <w:color w:val="000000" w:themeColor="text1"/>
                <w:sz w:val="18"/>
                <w:szCs w:val="18"/>
                <w:lang w:eastAsia="en-GB"/>
              </w:rPr>
            </w:pPr>
            <w:r>
              <w:rPr>
                <w:rFonts w:eastAsia="Times New Roman"/>
                <w:color w:val="000000" w:themeColor="text1"/>
                <w:sz w:val="18"/>
                <w:szCs w:val="18"/>
                <w:lang w:eastAsia="en-GB"/>
              </w:rPr>
              <w:t xml:space="preserve">2 </w:t>
            </w:r>
          </w:p>
        </w:tc>
        <w:tc>
          <w:tcPr>
            <w:tcW w:w="1162" w:type="dxa"/>
            <w:vAlign w:val="center"/>
          </w:tcPr>
          <w:p w14:paraId="126B7BC2" w14:textId="77777777" w:rsidR="00451790" w:rsidRPr="00272BF8" w:rsidRDefault="00451790" w:rsidP="006C2A43">
            <w:pPr>
              <w:rPr>
                <w:rFonts w:eastAsia="Times New Roman"/>
                <w:color w:val="000000" w:themeColor="text1"/>
                <w:sz w:val="18"/>
                <w:szCs w:val="18"/>
                <w:lang w:eastAsia="en-GB"/>
              </w:rPr>
            </w:pPr>
            <w:r>
              <w:rPr>
                <w:rFonts w:eastAsia="Times New Roman"/>
                <w:color w:val="000000" w:themeColor="text1"/>
                <w:sz w:val="18"/>
                <w:szCs w:val="18"/>
                <w:lang w:eastAsia="en-GB"/>
              </w:rPr>
              <w:t>3</w:t>
            </w:r>
          </w:p>
        </w:tc>
        <w:tc>
          <w:tcPr>
            <w:tcW w:w="3926" w:type="dxa"/>
            <w:vAlign w:val="center"/>
          </w:tcPr>
          <w:p w14:paraId="4077704F" w14:textId="5D18DE63" w:rsidR="00451790" w:rsidRPr="00272BF8" w:rsidRDefault="00973628" w:rsidP="006C2A43">
            <w:pPr>
              <w:rPr>
                <w:rFonts w:eastAsia="Times New Roman"/>
                <w:color w:val="000000" w:themeColor="text1"/>
                <w:sz w:val="18"/>
                <w:szCs w:val="18"/>
                <w:lang w:eastAsia="en-GB"/>
              </w:rPr>
            </w:pPr>
            <w:r>
              <w:rPr>
                <w:rFonts w:eastAsia="Times New Roman"/>
                <w:color w:val="000000" w:themeColor="text1"/>
                <w:sz w:val="18"/>
                <w:szCs w:val="18"/>
                <w:lang w:eastAsia="en-GB"/>
              </w:rPr>
              <w:t>INFF Oversight Committee established with all key line Ministries and giving ownership to steer the project</w:t>
            </w:r>
            <w:r w:rsidR="00451790">
              <w:rPr>
                <w:rFonts w:eastAsia="Times New Roman"/>
                <w:color w:val="000000" w:themeColor="text1"/>
                <w:sz w:val="18"/>
                <w:szCs w:val="18"/>
                <w:lang w:eastAsia="en-GB"/>
              </w:rPr>
              <w:t xml:space="preserve"> and ensure regular meeting with documentation of issues and action taken </w:t>
            </w:r>
          </w:p>
        </w:tc>
        <w:tc>
          <w:tcPr>
            <w:tcW w:w="1474" w:type="dxa"/>
            <w:vAlign w:val="center"/>
          </w:tcPr>
          <w:p w14:paraId="411C4E55" w14:textId="6900B337" w:rsidR="00451790" w:rsidRPr="00272BF8" w:rsidRDefault="00451790" w:rsidP="006C2A43">
            <w:pPr>
              <w:rPr>
                <w:rFonts w:eastAsia="Times New Roman"/>
                <w:color w:val="000000" w:themeColor="text1"/>
                <w:sz w:val="18"/>
                <w:szCs w:val="18"/>
                <w:lang w:eastAsia="en-GB"/>
              </w:rPr>
            </w:pPr>
            <w:r w:rsidRPr="0067404F">
              <w:rPr>
                <w:rFonts w:eastAsia="Times New Roman"/>
                <w:color w:val="000000" w:themeColor="text1"/>
                <w:sz w:val="18"/>
                <w:szCs w:val="18"/>
                <w:lang w:eastAsia="en-GB"/>
              </w:rPr>
              <w:t>PUNOs</w:t>
            </w:r>
            <w:r w:rsidR="00252126">
              <w:rPr>
                <w:rFonts w:eastAsia="Times New Roman"/>
                <w:color w:val="000000" w:themeColor="text1"/>
                <w:sz w:val="18"/>
                <w:szCs w:val="18"/>
                <w:lang w:eastAsia="en-GB"/>
              </w:rPr>
              <w:t>/INFF Oversight Committee</w:t>
            </w:r>
          </w:p>
        </w:tc>
      </w:tr>
      <w:tr w:rsidR="00451790" w:rsidRPr="00272BF8" w14:paraId="2F74CD2D" w14:textId="77777777" w:rsidTr="006C2A43">
        <w:trPr>
          <w:trHeight w:val="287"/>
          <w:jc w:val="center"/>
        </w:trPr>
        <w:tc>
          <w:tcPr>
            <w:tcW w:w="13135" w:type="dxa"/>
            <w:gridSpan w:val="6"/>
            <w:shd w:val="clear" w:color="auto" w:fill="E7E6E6" w:themeFill="background2"/>
            <w:vAlign w:val="center"/>
          </w:tcPr>
          <w:p w14:paraId="7481B7CB" w14:textId="77777777" w:rsidR="00451790" w:rsidRPr="00745D57" w:rsidRDefault="00451790" w:rsidP="006C2A43">
            <w:pPr>
              <w:rPr>
                <w:b/>
                <w:color w:val="000000" w:themeColor="text1"/>
                <w:sz w:val="18"/>
              </w:rPr>
            </w:pPr>
            <w:r w:rsidRPr="00745D57">
              <w:rPr>
                <w:b/>
                <w:color w:val="000000" w:themeColor="text1"/>
                <w:sz w:val="18"/>
              </w:rPr>
              <w:t>Institutional risks</w:t>
            </w:r>
          </w:p>
        </w:tc>
      </w:tr>
      <w:tr w:rsidR="00451790" w:rsidRPr="00272BF8" w14:paraId="54507EF2" w14:textId="77777777" w:rsidTr="006C2A43">
        <w:trPr>
          <w:jc w:val="center"/>
        </w:trPr>
        <w:tc>
          <w:tcPr>
            <w:tcW w:w="4016" w:type="dxa"/>
            <w:vAlign w:val="center"/>
          </w:tcPr>
          <w:p w14:paraId="2EEFF683" w14:textId="77777777" w:rsidR="00451790" w:rsidRPr="00CC6893" w:rsidRDefault="00451790" w:rsidP="006C2A43">
            <w:pPr>
              <w:rPr>
                <w:rFonts w:eastAsia="Times New Roman"/>
                <w:sz w:val="18"/>
                <w:szCs w:val="18"/>
                <w:lang w:eastAsia="en-GB"/>
              </w:rPr>
            </w:pPr>
            <w:r>
              <w:rPr>
                <w:rFonts w:eastAsia="Times New Roman"/>
                <w:sz w:val="18"/>
                <w:szCs w:val="18"/>
                <w:lang w:eastAsia="en-GB"/>
              </w:rPr>
              <w:t>Limitation in the availability of resources.</w:t>
            </w:r>
            <w:r w:rsidRPr="00CC6893">
              <w:rPr>
                <w:rFonts w:eastAsia="Times New Roman"/>
                <w:sz w:val="18"/>
                <w:szCs w:val="18"/>
                <w:lang w:eastAsia="en-GB"/>
              </w:rPr>
              <w:t xml:space="preserve"> Funding not sufficient for overcoming challenges</w:t>
            </w:r>
            <w:r>
              <w:rPr>
                <w:rFonts w:eastAsia="Times New Roman"/>
                <w:sz w:val="18"/>
                <w:szCs w:val="18"/>
                <w:lang w:eastAsia="en-GB"/>
              </w:rPr>
              <w:t xml:space="preserve"> that arise during implementation</w:t>
            </w:r>
          </w:p>
        </w:tc>
        <w:tc>
          <w:tcPr>
            <w:tcW w:w="1104" w:type="dxa"/>
            <w:vAlign w:val="center"/>
          </w:tcPr>
          <w:p w14:paraId="46D0DE26" w14:textId="77777777" w:rsidR="00451790" w:rsidRPr="00CC6893" w:rsidRDefault="00451790" w:rsidP="006C2A43">
            <w:pPr>
              <w:rPr>
                <w:rFonts w:eastAsia="Times New Roman"/>
                <w:sz w:val="18"/>
                <w:szCs w:val="18"/>
                <w:lang w:eastAsia="en-GB"/>
              </w:rPr>
            </w:pPr>
            <w:r>
              <w:rPr>
                <w:rFonts w:eastAsia="Times New Roman"/>
                <w:sz w:val="18"/>
                <w:szCs w:val="18"/>
                <w:lang w:eastAsia="en-GB"/>
              </w:rPr>
              <w:t>3 Medium</w:t>
            </w:r>
          </w:p>
        </w:tc>
        <w:tc>
          <w:tcPr>
            <w:tcW w:w="1453" w:type="dxa"/>
            <w:vAlign w:val="center"/>
          </w:tcPr>
          <w:p w14:paraId="55E73A7C" w14:textId="77777777" w:rsidR="00451790" w:rsidRPr="00CC6893" w:rsidRDefault="00451790" w:rsidP="006C2A43">
            <w:pPr>
              <w:rPr>
                <w:rFonts w:eastAsia="Times New Roman"/>
                <w:sz w:val="18"/>
                <w:szCs w:val="18"/>
                <w:lang w:eastAsia="en-GB"/>
              </w:rPr>
            </w:pPr>
            <w:r>
              <w:rPr>
                <w:rFonts w:eastAsia="Times New Roman"/>
                <w:sz w:val="18"/>
                <w:szCs w:val="18"/>
                <w:lang w:eastAsia="en-GB"/>
              </w:rPr>
              <w:t>1</w:t>
            </w:r>
          </w:p>
        </w:tc>
        <w:tc>
          <w:tcPr>
            <w:tcW w:w="1162" w:type="dxa"/>
            <w:vAlign w:val="center"/>
          </w:tcPr>
          <w:p w14:paraId="22BB895B" w14:textId="77777777" w:rsidR="00451790" w:rsidRPr="00CC6893" w:rsidRDefault="00451790" w:rsidP="006C2A43">
            <w:pPr>
              <w:rPr>
                <w:rFonts w:eastAsia="Times New Roman"/>
                <w:sz w:val="18"/>
                <w:szCs w:val="18"/>
                <w:lang w:eastAsia="en-GB"/>
              </w:rPr>
            </w:pPr>
            <w:r>
              <w:rPr>
                <w:rFonts w:eastAsia="Times New Roman"/>
                <w:sz w:val="18"/>
                <w:szCs w:val="18"/>
                <w:lang w:eastAsia="en-GB"/>
              </w:rPr>
              <w:t>3</w:t>
            </w:r>
          </w:p>
        </w:tc>
        <w:tc>
          <w:tcPr>
            <w:tcW w:w="3926" w:type="dxa"/>
            <w:vAlign w:val="center"/>
          </w:tcPr>
          <w:p w14:paraId="0F912787" w14:textId="77777777" w:rsidR="00451790" w:rsidRPr="00CC6893" w:rsidRDefault="00451790" w:rsidP="006C2A43">
            <w:pPr>
              <w:rPr>
                <w:rFonts w:eastAsia="Times New Roman"/>
                <w:sz w:val="18"/>
                <w:szCs w:val="18"/>
                <w:lang w:eastAsia="en-GB"/>
              </w:rPr>
            </w:pPr>
            <w:r w:rsidRPr="00CC6893">
              <w:rPr>
                <w:rFonts w:eastAsia="Times New Roman"/>
                <w:sz w:val="18"/>
                <w:szCs w:val="18"/>
                <w:lang w:eastAsia="en-GB"/>
              </w:rPr>
              <w:t xml:space="preserve">PUNOs </w:t>
            </w:r>
            <w:r>
              <w:rPr>
                <w:rFonts w:eastAsia="Times New Roman"/>
                <w:sz w:val="18"/>
                <w:szCs w:val="18"/>
                <w:lang w:eastAsia="en-GB"/>
              </w:rPr>
              <w:t>harness</w:t>
            </w:r>
            <w:r w:rsidRPr="00CC6893">
              <w:rPr>
                <w:rFonts w:eastAsia="Times New Roman"/>
                <w:sz w:val="18"/>
                <w:szCs w:val="18"/>
                <w:lang w:eastAsia="en-GB"/>
              </w:rPr>
              <w:t xml:space="preserve"> partnership </w:t>
            </w:r>
            <w:r>
              <w:rPr>
                <w:rFonts w:eastAsia="Times New Roman"/>
                <w:sz w:val="18"/>
                <w:szCs w:val="18"/>
                <w:lang w:eastAsia="en-GB"/>
              </w:rPr>
              <w:t xml:space="preserve">for </w:t>
            </w:r>
            <w:r w:rsidRPr="00CC6893">
              <w:rPr>
                <w:rFonts w:eastAsia="Times New Roman"/>
                <w:sz w:val="18"/>
                <w:szCs w:val="18"/>
                <w:lang w:eastAsia="en-GB"/>
              </w:rPr>
              <w:t xml:space="preserve">resource mobilization with </w:t>
            </w:r>
            <w:r>
              <w:rPr>
                <w:rFonts w:eastAsia="Times New Roman"/>
                <w:sz w:val="18"/>
                <w:szCs w:val="18"/>
                <w:lang w:eastAsia="en-GB"/>
              </w:rPr>
              <w:t xml:space="preserve">private sector, </w:t>
            </w:r>
            <w:r w:rsidRPr="00CC6893">
              <w:rPr>
                <w:rFonts w:eastAsia="Times New Roman"/>
                <w:sz w:val="18"/>
                <w:szCs w:val="18"/>
                <w:lang w:eastAsia="en-GB"/>
              </w:rPr>
              <w:t xml:space="preserve">International/National organizations </w:t>
            </w:r>
            <w:r>
              <w:rPr>
                <w:rFonts w:eastAsia="Times New Roman"/>
                <w:sz w:val="18"/>
                <w:szCs w:val="18"/>
                <w:lang w:eastAsia="en-GB"/>
              </w:rPr>
              <w:t xml:space="preserve">and </w:t>
            </w:r>
            <w:r w:rsidRPr="00CC6893">
              <w:rPr>
                <w:rFonts w:eastAsia="Times New Roman"/>
                <w:sz w:val="18"/>
                <w:szCs w:val="18"/>
                <w:lang w:eastAsia="en-GB"/>
              </w:rPr>
              <w:t xml:space="preserve">foundations </w:t>
            </w:r>
            <w:r>
              <w:rPr>
                <w:rFonts w:eastAsia="Times New Roman"/>
                <w:sz w:val="18"/>
                <w:szCs w:val="18"/>
                <w:lang w:eastAsia="en-GB"/>
              </w:rPr>
              <w:t>and collaborate for institutional strengthening and sustainability</w:t>
            </w:r>
          </w:p>
        </w:tc>
        <w:tc>
          <w:tcPr>
            <w:tcW w:w="1474" w:type="dxa"/>
            <w:vAlign w:val="center"/>
          </w:tcPr>
          <w:p w14:paraId="4EA613C0" w14:textId="77777777" w:rsidR="00451790" w:rsidRPr="00272BF8" w:rsidRDefault="00451790" w:rsidP="006C2A43">
            <w:pPr>
              <w:rPr>
                <w:rFonts w:eastAsia="Times New Roman"/>
                <w:color w:val="000000" w:themeColor="text1"/>
                <w:sz w:val="18"/>
                <w:szCs w:val="18"/>
                <w:lang w:eastAsia="en-GB"/>
              </w:rPr>
            </w:pPr>
            <w:r>
              <w:rPr>
                <w:rFonts w:eastAsia="Times New Roman"/>
                <w:color w:val="000000" w:themeColor="text1"/>
                <w:sz w:val="18"/>
                <w:szCs w:val="18"/>
                <w:lang w:eastAsia="en-GB"/>
              </w:rPr>
              <w:t>PUNOs</w:t>
            </w:r>
          </w:p>
        </w:tc>
      </w:tr>
      <w:tr w:rsidR="00451790" w:rsidRPr="00272BF8" w14:paraId="3054EAA3" w14:textId="77777777" w:rsidTr="006C2A43">
        <w:trPr>
          <w:trHeight w:val="503"/>
          <w:jc w:val="center"/>
        </w:trPr>
        <w:tc>
          <w:tcPr>
            <w:tcW w:w="4016" w:type="dxa"/>
            <w:vAlign w:val="center"/>
          </w:tcPr>
          <w:p w14:paraId="2F22EDB8" w14:textId="77777777" w:rsidR="00451790" w:rsidRPr="00272BF8" w:rsidRDefault="00451790" w:rsidP="006C2A43">
            <w:pPr>
              <w:rPr>
                <w:rFonts w:eastAsia="Times New Roman"/>
                <w:color w:val="000000" w:themeColor="text1"/>
                <w:sz w:val="18"/>
                <w:szCs w:val="18"/>
                <w:lang w:eastAsia="en-GB"/>
              </w:rPr>
            </w:pPr>
            <w:r>
              <w:rPr>
                <w:rFonts w:eastAsia="Times New Roman"/>
                <w:sz w:val="18"/>
                <w:szCs w:val="18"/>
                <w:lang w:eastAsia="en-GB"/>
              </w:rPr>
              <w:t>Poor c</w:t>
            </w:r>
            <w:r w:rsidRPr="00CC6893">
              <w:rPr>
                <w:rFonts w:eastAsia="Times New Roman"/>
                <w:sz w:val="18"/>
                <w:szCs w:val="18"/>
                <w:lang w:eastAsia="en-GB"/>
              </w:rPr>
              <w:t xml:space="preserve">oordination </w:t>
            </w:r>
            <w:r>
              <w:rPr>
                <w:rFonts w:eastAsia="Times New Roman"/>
                <w:sz w:val="18"/>
                <w:szCs w:val="18"/>
                <w:lang w:eastAsia="en-GB"/>
              </w:rPr>
              <w:t xml:space="preserve">and communication </w:t>
            </w:r>
            <w:r w:rsidRPr="00CC6893">
              <w:rPr>
                <w:rFonts w:eastAsia="Times New Roman"/>
                <w:sz w:val="18"/>
                <w:szCs w:val="18"/>
                <w:lang w:eastAsia="en-GB"/>
              </w:rPr>
              <w:t>amongst PUNOs</w:t>
            </w:r>
            <w:r>
              <w:rPr>
                <w:rFonts w:eastAsia="Times New Roman"/>
                <w:sz w:val="18"/>
                <w:szCs w:val="18"/>
                <w:lang w:eastAsia="en-GB"/>
              </w:rPr>
              <w:t xml:space="preserve"> </w:t>
            </w:r>
          </w:p>
        </w:tc>
        <w:tc>
          <w:tcPr>
            <w:tcW w:w="1104" w:type="dxa"/>
            <w:vAlign w:val="center"/>
          </w:tcPr>
          <w:p w14:paraId="6A068395" w14:textId="77777777" w:rsidR="00451790" w:rsidRPr="00272BF8" w:rsidRDefault="00451790" w:rsidP="006C2A43">
            <w:pPr>
              <w:rPr>
                <w:rFonts w:eastAsia="Times New Roman"/>
                <w:color w:val="000000" w:themeColor="text1"/>
                <w:sz w:val="18"/>
                <w:szCs w:val="18"/>
                <w:lang w:eastAsia="en-GB"/>
              </w:rPr>
            </w:pPr>
            <w:r>
              <w:rPr>
                <w:rFonts w:eastAsia="Times New Roman"/>
                <w:color w:val="000000" w:themeColor="text1"/>
                <w:sz w:val="18"/>
                <w:szCs w:val="18"/>
                <w:lang w:eastAsia="en-GB"/>
              </w:rPr>
              <w:t>2 Low</w:t>
            </w:r>
          </w:p>
        </w:tc>
        <w:tc>
          <w:tcPr>
            <w:tcW w:w="1453" w:type="dxa"/>
            <w:vAlign w:val="center"/>
          </w:tcPr>
          <w:p w14:paraId="16F2DFDF" w14:textId="77777777" w:rsidR="00451790" w:rsidRPr="00272BF8" w:rsidRDefault="00451790" w:rsidP="006C2A43">
            <w:pPr>
              <w:rPr>
                <w:rFonts w:eastAsia="Times New Roman"/>
                <w:color w:val="000000" w:themeColor="text1"/>
                <w:sz w:val="18"/>
                <w:szCs w:val="18"/>
                <w:lang w:eastAsia="en-GB"/>
              </w:rPr>
            </w:pPr>
            <w:r>
              <w:rPr>
                <w:rFonts w:eastAsia="Times New Roman"/>
                <w:color w:val="000000" w:themeColor="text1"/>
                <w:sz w:val="18"/>
                <w:szCs w:val="18"/>
                <w:lang w:eastAsia="en-GB"/>
              </w:rPr>
              <w:t>1</w:t>
            </w:r>
          </w:p>
        </w:tc>
        <w:tc>
          <w:tcPr>
            <w:tcW w:w="1162" w:type="dxa"/>
            <w:vAlign w:val="center"/>
          </w:tcPr>
          <w:p w14:paraId="7E832156" w14:textId="77777777" w:rsidR="00451790" w:rsidRPr="00272BF8" w:rsidRDefault="00451790" w:rsidP="006C2A43">
            <w:pPr>
              <w:rPr>
                <w:rFonts w:eastAsia="Times New Roman"/>
                <w:color w:val="000000" w:themeColor="text1"/>
                <w:sz w:val="18"/>
                <w:szCs w:val="18"/>
                <w:lang w:eastAsia="en-GB"/>
              </w:rPr>
            </w:pPr>
            <w:r>
              <w:rPr>
                <w:rFonts w:eastAsia="Times New Roman"/>
                <w:color w:val="000000" w:themeColor="text1"/>
                <w:sz w:val="18"/>
                <w:szCs w:val="18"/>
                <w:lang w:eastAsia="en-GB"/>
              </w:rPr>
              <w:t xml:space="preserve">2 </w:t>
            </w:r>
          </w:p>
        </w:tc>
        <w:tc>
          <w:tcPr>
            <w:tcW w:w="3926" w:type="dxa"/>
            <w:vAlign w:val="center"/>
          </w:tcPr>
          <w:p w14:paraId="07A2CA58" w14:textId="77777777" w:rsidR="00451790" w:rsidRPr="00272BF8" w:rsidRDefault="00451790" w:rsidP="006C2A43">
            <w:pPr>
              <w:rPr>
                <w:rFonts w:eastAsia="Times New Roman"/>
                <w:color w:val="000000" w:themeColor="text1"/>
                <w:sz w:val="18"/>
                <w:szCs w:val="18"/>
                <w:lang w:eastAsia="en-GB"/>
              </w:rPr>
            </w:pPr>
            <w:r w:rsidRPr="00534148">
              <w:rPr>
                <w:rFonts w:eastAsia="Times New Roman"/>
                <w:color w:val="000000" w:themeColor="text1"/>
                <w:sz w:val="18"/>
                <w:szCs w:val="18"/>
                <w:lang w:eastAsia="en-GB"/>
              </w:rPr>
              <w:t xml:space="preserve">Regularize meetings for </w:t>
            </w:r>
            <w:r>
              <w:rPr>
                <w:rFonts w:eastAsia="Times New Roman"/>
                <w:color w:val="000000" w:themeColor="text1"/>
                <w:sz w:val="18"/>
                <w:szCs w:val="18"/>
                <w:lang w:eastAsia="en-GB"/>
              </w:rPr>
              <w:t>information sharing and updating amongst PUNOs</w:t>
            </w:r>
          </w:p>
        </w:tc>
        <w:tc>
          <w:tcPr>
            <w:tcW w:w="1474" w:type="dxa"/>
            <w:vAlign w:val="center"/>
          </w:tcPr>
          <w:p w14:paraId="0B394D3E" w14:textId="77CF35E0" w:rsidR="00451790" w:rsidRPr="00272BF8" w:rsidRDefault="00451790" w:rsidP="006C2A43">
            <w:pPr>
              <w:rPr>
                <w:rFonts w:eastAsia="Times New Roman"/>
                <w:color w:val="000000" w:themeColor="text1"/>
                <w:sz w:val="18"/>
                <w:szCs w:val="18"/>
                <w:lang w:eastAsia="en-GB"/>
              </w:rPr>
            </w:pPr>
            <w:r>
              <w:rPr>
                <w:rFonts w:eastAsia="Times New Roman"/>
                <w:color w:val="000000" w:themeColor="text1"/>
                <w:sz w:val="18"/>
                <w:szCs w:val="18"/>
                <w:lang w:eastAsia="en-GB"/>
              </w:rPr>
              <w:t>RCO</w:t>
            </w:r>
          </w:p>
        </w:tc>
      </w:tr>
      <w:tr w:rsidR="00451790" w:rsidRPr="00272BF8" w14:paraId="38833BEA" w14:textId="77777777" w:rsidTr="006C2A43">
        <w:trPr>
          <w:trHeight w:val="305"/>
          <w:jc w:val="center"/>
        </w:trPr>
        <w:tc>
          <w:tcPr>
            <w:tcW w:w="13135" w:type="dxa"/>
            <w:gridSpan w:val="6"/>
            <w:shd w:val="clear" w:color="auto" w:fill="E7E6E6" w:themeFill="background2"/>
            <w:vAlign w:val="center"/>
          </w:tcPr>
          <w:p w14:paraId="44BA4203" w14:textId="77777777" w:rsidR="00451790" w:rsidRPr="00745D57" w:rsidRDefault="00451790" w:rsidP="006C2A43">
            <w:pPr>
              <w:rPr>
                <w:b/>
                <w:color w:val="000000" w:themeColor="text1"/>
                <w:sz w:val="18"/>
              </w:rPr>
            </w:pPr>
            <w:r w:rsidRPr="00745D57">
              <w:rPr>
                <w:b/>
                <w:color w:val="000000" w:themeColor="text1"/>
                <w:sz w:val="18"/>
              </w:rPr>
              <w:t>Fiduciary risks</w:t>
            </w:r>
          </w:p>
        </w:tc>
      </w:tr>
      <w:tr w:rsidR="00451790" w:rsidRPr="00272BF8" w14:paraId="281FA5B7" w14:textId="77777777" w:rsidTr="006C2A43">
        <w:trPr>
          <w:trHeight w:val="530"/>
          <w:jc w:val="center"/>
        </w:trPr>
        <w:tc>
          <w:tcPr>
            <w:tcW w:w="4016" w:type="dxa"/>
            <w:vAlign w:val="center"/>
          </w:tcPr>
          <w:p w14:paraId="1D9E5D25" w14:textId="77777777" w:rsidR="00451790" w:rsidRPr="00FD069E" w:rsidRDefault="00451790" w:rsidP="006C2A43">
            <w:pPr>
              <w:rPr>
                <w:rFonts w:eastAsia="Times New Roman"/>
                <w:color w:val="7030A0"/>
                <w:sz w:val="18"/>
                <w:szCs w:val="18"/>
                <w:lang w:eastAsia="en-GB"/>
              </w:rPr>
            </w:pPr>
            <w:r w:rsidRPr="00CC6893">
              <w:rPr>
                <w:rFonts w:eastAsia="Times New Roman"/>
                <w:sz w:val="18"/>
                <w:szCs w:val="18"/>
                <w:lang w:eastAsia="en-GB"/>
              </w:rPr>
              <w:t xml:space="preserve">Funds not used adequately by </w:t>
            </w:r>
            <w:r>
              <w:rPr>
                <w:rFonts w:eastAsia="Times New Roman"/>
                <w:sz w:val="18"/>
                <w:szCs w:val="18"/>
                <w:lang w:eastAsia="en-GB"/>
              </w:rPr>
              <w:t>Implementing partners</w:t>
            </w:r>
          </w:p>
        </w:tc>
        <w:tc>
          <w:tcPr>
            <w:tcW w:w="1104" w:type="dxa"/>
            <w:vAlign w:val="center"/>
          </w:tcPr>
          <w:p w14:paraId="5F6825D0" w14:textId="77777777" w:rsidR="00451790" w:rsidRPr="00272BF8" w:rsidRDefault="00451790" w:rsidP="006C2A43">
            <w:pPr>
              <w:rPr>
                <w:rFonts w:eastAsia="Times New Roman"/>
                <w:color w:val="000000" w:themeColor="text1"/>
                <w:sz w:val="18"/>
                <w:szCs w:val="18"/>
                <w:lang w:eastAsia="en-GB"/>
              </w:rPr>
            </w:pPr>
            <w:r>
              <w:rPr>
                <w:rFonts w:eastAsia="Times New Roman"/>
                <w:color w:val="000000" w:themeColor="text1"/>
                <w:sz w:val="18"/>
                <w:szCs w:val="18"/>
                <w:lang w:eastAsia="en-GB"/>
              </w:rPr>
              <w:t>2 Low</w:t>
            </w:r>
          </w:p>
        </w:tc>
        <w:tc>
          <w:tcPr>
            <w:tcW w:w="1453" w:type="dxa"/>
            <w:vAlign w:val="center"/>
          </w:tcPr>
          <w:p w14:paraId="397F8071" w14:textId="77777777" w:rsidR="00451790" w:rsidRPr="00272BF8" w:rsidRDefault="00451790" w:rsidP="006C2A43">
            <w:pPr>
              <w:rPr>
                <w:rFonts w:eastAsia="Times New Roman"/>
                <w:color w:val="000000" w:themeColor="text1"/>
                <w:sz w:val="18"/>
                <w:szCs w:val="18"/>
                <w:lang w:eastAsia="en-GB"/>
              </w:rPr>
            </w:pPr>
            <w:r>
              <w:rPr>
                <w:rFonts w:eastAsia="Times New Roman"/>
                <w:color w:val="000000" w:themeColor="text1"/>
                <w:sz w:val="18"/>
                <w:szCs w:val="18"/>
                <w:lang w:eastAsia="en-GB"/>
              </w:rPr>
              <w:t>1</w:t>
            </w:r>
          </w:p>
        </w:tc>
        <w:tc>
          <w:tcPr>
            <w:tcW w:w="1162" w:type="dxa"/>
            <w:vAlign w:val="center"/>
          </w:tcPr>
          <w:p w14:paraId="6B6F4DC2" w14:textId="77777777" w:rsidR="00451790" w:rsidRPr="00272BF8" w:rsidRDefault="00451790" w:rsidP="006C2A43">
            <w:pPr>
              <w:rPr>
                <w:rFonts w:eastAsia="Times New Roman"/>
                <w:color w:val="000000" w:themeColor="text1"/>
                <w:sz w:val="18"/>
                <w:szCs w:val="18"/>
                <w:lang w:eastAsia="en-GB"/>
              </w:rPr>
            </w:pPr>
            <w:r>
              <w:rPr>
                <w:rFonts w:eastAsia="Times New Roman"/>
                <w:color w:val="000000" w:themeColor="text1"/>
                <w:sz w:val="18"/>
                <w:szCs w:val="18"/>
                <w:lang w:eastAsia="en-GB"/>
              </w:rPr>
              <w:t>2</w:t>
            </w:r>
          </w:p>
        </w:tc>
        <w:tc>
          <w:tcPr>
            <w:tcW w:w="3926" w:type="dxa"/>
            <w:vAlign w:val="center"/>
          </w:tcPr>
          <w:p w14:paraId="2806FC18" w14:textId="77777777" w:rsidR="00451790" w:rsidRDefault="00451790" w:rsidP="006C2A43">
            <w:pPr>
              <w:rPr>
                <w:rFonts w:eastAsia="Times New Roman"/>
                <w:color w:val="000000" w:themeColor="text1"/>
                <w:sz w:val="18"/>
                <w:szCs w:val="18"/>
                <w:lang w:eastAsia="en-GB"/>
              </w:rPr>
            </w:pPr>
            <w:r>
              <w:rPr>
                <w:rFonts w:eastAsia="Times New Roman"/>
                <w:color w:val="000000" w:themeColor="text1"/>
                <w:sz w:val="18"/>
                <w:szCs w:val="18"/>
                <w:lang w:eastAsia="en-GB"/>
              </w:rPr>
              <w:t>UNCT provides quarterly updates during UNCT meeting</w:t>
            </w:r>
          </w:p>
          <w:p w14:paraId="2F01FEDC" w14:textId="77777777" w:rsidR="00451790" w:rsidRPr="00272BF8" w:rsidRDefault="00451790" w:rsidP="006C2A43">
            <w:pPr>
              <w:rPr>
                <w:rFonts w:eastAsia="Times New Roman"/>
                <w:color w:val="000000" w:themeColor="text1"/>
                <w:sz w:val="18"/>
                <w:szCs w:val="18"/>
                <w:lang w:eastAsia="en-GB"/>
              </w:rPr>
            </w:pPr>
            <w:r>
              <w:rPr>
                <w:rFonts w:eastAsia="Times New Roman"/>
                <w:color w:val="000000" w:themeColor="text1"/>
                <w:sz w:val="18"/>
                <w:szCs w:val="18"/>
                <w:lang w:eastAsia="en-GB"/>
              </w:rPr>
              <w:t xml:space="preserve">Regular monitoring and supervision to ensure smooth implementation </w:t>
            </w:r>
          </w:p>
        </w:tc>
        <w:tc>
          <w:tcPr>
            <w:tcW w:w="1474" w:type="dxa"/>
            <w:vAlign w:val="center"/>
          </w:tcPr>
          <w:p w14:paraId="7A9B051A" w14:textId="77777777" w:rsidR="00451790" w:rsidRPr="00272BF8" w:rsidRDefault="00451790" w:rsidP="006C2A43">
            <w:pPr>
              <w:rPr>
                <w:rFonts w:eastAsia="Times New Roman"/>
                <w:color w:val="000000" w:themeColor="text1"/>
                <w:sz w:val="18"/>
                <w:szCs w:val="18"/>
                <w:lang w:eastAsia="en-GB"/>
              </w:rPr>
            </w:pPr>
            <w:r>
              <w:rPr>
                <w:rFonts w:eastAsia="Times New Roman"/>
                <w:color w:val="000000" w:themeColor="text1"/>
                <w:sz w:val="18"/>
                <w:szCs w:val="18"/>
                <w:lang w:eastAsia="en-GB"/>
              </w:rPr>
              <w:t>RCO and PUNOs</w:t>
            </w:r>
          </w:p>
        </w:tc>
      </w:tr>
      <w:bookmarkEnd w:id="36"/>
    </w:tbl>
    <w:p w14:paraId="42AE3EF7" w14:textId="03EDF6EC" w:rsidR="00081CE7" w:rsidRPr="00CD3D9C" w:rsidRDefault="00081CE7" w:rsidP="001134F6">
      <w:pPr>
        <w:rPr>
          <w:color w:val="000000" w:themeColor="text1"/>
          <w:szCs w:val="20"/>
        </w:rPr>
      </w:pPr>
    </w:p>
    <w:sectPr w:rsidR="00081CE7" w:rsidRPr="00CD3D9C" w:rsidSect="000F162E">
      <w:pgSz w:w="15840" w:h="12240" w:orient="landscape"/>
      <w:pgMar w:top="1440" w:right="1440" w:bottom="1440" w:left="144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F64F6" w14:textId="77777777" w:rsidR="00FE1EAC" w:rsidRDefault="00FE1EAC">
      <w:r>
        <w:separator/>
      </w:r>
    </w:p>
  </w:endnote>
  <w:endnote w:type="continuationSeparator" w:id="0">
    <w:p w14:paraId="5EE2AA12" w14:textId="77777777" w:rsidR="00FE1EAC" w:rsidRDefault="00FE1EAC">
      <w:r>
        <w:continuationSeparator/>
      </w:r>
    </w:p>
  </w:endnote>
  <w:endnote w:type="continuationNotice" w:id="1">
    <w:p w14:paraId="705B1EDC" w14:textId="77777777" w:rsidR="00FE1EAC" w:rsidRDefault="00FE1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503030403020204"/>
    <w:charset w:val="00"/>
    <w:family w:val="swiss"/>
    <w:notTrueType/>
    <w:pitch w:val="variable"/>
    <w:sig w:usb0="A00002AF" w:usb1="5000204B" w:usb2="00000000" w:usb3="00000000" w:csb0="0000009F" w:csb1="00000000"/>
  </w:font>
  <w:font w:name="CIDFont+F4">
    <w:panose1 w:val="00000000000000000000"/>
    <w:charset w:val="00"/>
    <w:family w:val="auto"/>
    <w:notTrueType/>
    <w:pitch w:val="default"/>
    <w:sig w:usb0="00000003" w:usb1="00000000" w:usb2="00000000" w:usb3="00000000" w:csb0="00000001" w:csb1="00000000"/>
  </w:font>
  <w:font w:name="MyriadPro-Light">
    <w:altName w:val="Calibri"/>
    <w:panose1 w:val="00000000000000000000"/>
    <w:charset w:val="FE"/>
    <w:family w:val="swiss"/>
    <w:notTrueType/>
    <w:pitch w:val="default"/>
    <w:sig w:usb0="00000003" w:usb1="00000000" w:usb2="00000000" w:usb3="00000000" w:csb0="00000000" w:csb1="00000000"/>
  </w:font>
  <w:font w:name="DejaVu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404113"/>
      <w:docPartObj>
        <w:docPartGallery w:val="Page Numbers (Bottom of Page)"/>
        <w:docPartUnique/>
      </w:docPartObj>
    </w:sdtPr>
    <w:sdtEndPr>
      <w:rPr>
        <w:noProof/>
      </w:rPr>
    </w:sdtEndPr>
    <w:sdtContent>
      <w:p w14:paraId="43A14318" w14:textId="0317076A" w:rsidR="00231845" w:rsidRDefault="00231845">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69B79670" w14:textId="77777777" w:rsidR="00231845" w:rsidRDefault="00231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87F7F" w14:textId="77777777" w:rsidR="00FE1EAC" w:rsidRDefault="00FE1EAC">
      <w:r>
        <w:separator/>
      </w:r>
    </w:p>
  </w:footnote>
  <w:footnote w:type="continuationSeparator" w:id="0">
    <w:p w14:paraId="5441402B" w14:textId="77777777" w:rsidR="00FE1EAC" w:rsidRDefault="00FE1EAC">
      <w:r>
        <w:continuationSeparator/>
      </w:r>
    </w:p>
  </w:footnote>
  <w:footnote w:type="continuationNotice" w:id="1">
    <w:p w14:paraId="646740E3" w14:textId="77777777" w:rsidR="00FE1EAC" w:rsidRDefault="00FE1EAC"/>
  </w:footnote>
  <w:footnote w:id="2">
    <w:p w14:paraId="3FB07542" w14:textId="77777777" w:rsidR="00231845" w:rsidRPr="000C1666" w:rsidRDefault="00231845" w:rsidP="00EB305E">
      <w:pPr>
        <w:pStyle w:val="FootnoteText"/>
        <w:rPr>
          <w:rFonts w:ascii="Verdana" w:hAnsi="Verdana"/>
          <w:sz w:val="16"/>
          <w:szCs w:val="16"/>
        </w:rPr>
      </w:pPr>
      <w:r w:rsidRPr="000C1666">
        <w:rPr>
          <w:rStyle w:val="FootnoteReference"/>
          <w:rFonts w:ascii="Verdana" w:hAnsi="Verdana"/>
          <w:sz w:val="16"/>
          <w:szCs w:val="16"/>
        </w:rPr>
        <w:footnoteRef/>
      </w:r>
      <w:r w:rsidRPr="000C1666">
        <w:rPr>
          <w:rFonts w:ascii="Verdana" w:hAnsi="Verdana"/>
          <w:sz w:val="16"/>
          <w:szCs w:val="16"/>
        </w:rPr>
        <w:t xml:space="preserve"> National Bureau of Statistics 2018.</w:t>
      </w:r>
    </w:p>
  </w:footnote>
  <w:footnote w:id="3">
    <w:p w14:paraId="33F1292C" w14:textId="7A201913" w:rsidR="00231845" w:rsidRPr="000C1666" w:rsidRDefault="00231845" w:rsidP="005D15BC">
      <w:pPr>
        <w:pStyle w:val="FootnoteText"/>
        <w:rPr>
          <w:rFonts w:ascii="Verdana" w:hAnsi="Verdana"/>
          <w:sz w:val="16"/>
          <w:szCs w:val="16"/>
        </w:rPr>
      </w:pPr>
      <w:r w:rsidRPr="000C1666">
        <w:rPr>
          <w:rFonts w:ascii="Verdana" w:hAnsi="Verdana"/>
          <w:sz w:val="16"/>
          <w:szCs w:val="16"/>
        </w:rPr>
        <w:footnoteRef/>
      </w:r>
      <w:r w:rsidRPr="000C1666">
        <w:rPr>
          <w:rFonts w:ascii="Verdana" w:hAnsi="Verdana"/>
          <w:sz w:val="16"/>
          <w:szCs w:val="16"/>
        </w:rPr>
        <w:t xml:space="preserve"> </w:t>
      </w:r>
      <w:hyperlink r:id="rId1" w:history="1">
        <w:r w:rsidRPr="000C1666">
          <w:rPr>
            <w:rFonts w:ascii="Verdana" w:hAnsi="Verdana"/>
            <w:sz w:val="16"/>
            <w:szCs w:val="16"/>
          </w:rPr>
          <w:t>Asian</w:t>
        </w:r>
      </w:hyperlink>
      <w:r w:rsidRPr="000C1666">
        <w:rPr>
          <w:rFonts w:ascii="Verdana" w:hAnsi="Verdana"/>
          <w:sz w:val="16"/>
          <w:szCs w:val="16"/>
        </w:rPr>
        <w:t xml:space="preserve"> Development Bank. 2020. The Economic Impact of the COVID-19 Outbreak on Developing Asia. </w:t>
      </w:r>
    </w:p>
  </w:footnote>
  <w:footnote w:id="4">
    <w:p w14:paraId="2A806110" w14:textId="77777777" w:rsidR="00231845" w:rsidRPr="000C1666" w:rsidRDefault="00231845" w:rsidP="005D15BC">
      <w:pPr>
        <w:pStyle w:val="FootnoteText"/>
        <w:rPr>
          <w:rFonts w:ascii="Verdana" w:hAnsi="Verdana"/>
          <w:sz w:val="16"/>
          <w:szCs w:val="16"/>
        </w:rPr>
      </w:pPr>
      <w:r w:rsidRPr="000C1666">
        <w:rPr>
          <w:rFonts w:ascii="Verdana" w:hAnsi="Verdana"/>
          <w:sz w:val="16"/>
          <w:szCs w:val="16"/>
        </w:rPr>
        <w:footnoteRef/>
      </w:r>
      <w:r w:rsidRPr="000C1666">
        <w:rPr>
          <w:rFonts w:ascii="Verdana" w:hAnsi="Verdana"/>
          <w:sz w:val="16"/>
          <w:szCs w:val="16"/>
        </w:rPr>
        <w:t xml:space="preserve"> Maldives Macroeconomic Update: Novel Coronavirus outbreak, Ministry of Finance</w:t>
      </w:r>
    </w:p>
  </w:footnote>
  <w:footnote w:id="5">
    <w:p w14:paraId="67A194B3" w14:textId="44A38A42" w:rsidR="00231845" w:rsidRDefault="00231845">
      <w:pPr>
        <w:pStyle w:val="FootnoteText"/>
      </w:pPr>
      <w:r w:rsidRPr="000C1666">
        <w:rPr>
          <w:rFonts w:ascii="Verdana" w:hAnsi="Verdana"/>
          <w:sz w:val="16"/>
          <w:szCs w:val="16"/>
        </w:rPr>
        <w:footnoteRef/>
      </w:r>
      <w:r w:rsidRPr="000C1666">
        <w:rPr>
          <w:rFonts w:ascii="Verdana" w:hAnsi="Verdana"/>
          <w:sz w:val="16"/>
          <w:szCs w:val="16"/>
        </w:rPr>
        <w:t xml:space="preserve"> International Monetary Fund. 2019. Maldives 2019 Article IV Consultation—Press Release; Staff Report; And Statement by The Executive Director for Maldives. IMF Country Report No. 19/156.</w:t>
      </w:r>
    </w:p>
  </w:footnote>
  <w:footnote w:id="6">
    <w:p w14:paraId="026DB075" w14:textId="4D6A2881" w:rsidR="00231845" w:rsidRPr="003F08DF" w:rsidRDefault="00231845">
      <w:pPr>
        <w:pStyle w:val="FootnoteText"/>
        <w:rPr>
          <w:rFonts w:ascii="Verdana" w:hAnsi="Verdana"/>
          <w:sz w:val="16"/>
          <w:szCs w:val="16"/>
        </w:rPr>
      </w:pPr>
      <w:r w:rsidRPr="003F08DF">
        <w:rPr>
          <w:rStyle w:val="FootnoteReference"/>
          <w:rFonts w:ascii="Verdana" w:hAnsi="Verdana"/>
          <w:sz w:val="16"/>
          <w:szCs w:val="16"/>
        </w:rPr>
        <w:footnoteRef/>
      </w:r>
      <w:r w:rsidRPr="003F08DF">
        <w:rPr>
          <w:rFonts w:ascii="Verdana" w:hAnsi="Verdana"/>
          <w:sz w:val="16"/>
          <w:szCs w:val="16"/>
        </w:rPr>
        <w:t xml:space="preserve"> ME, (2019), Maldives First Biennial Update Report to the United Nations Framework Convention on Climate Change, Maldives: Ministry of Environment</w:t>
      </w:r>
    </w:p>
  </w:footnote>
  <w:footnote w:id="7">
    <w:p w14:paraId="1D453E75" w14:textId="77777777" w:rsidR="00231845" w:rsidRPr="003F08DF" w:rsidRDefault="00231845" w:rsidP="009E2325">
      <w:pPr>
        <w:pStyle w:val="FootnoteText"/>
        <w:rPr>
          <w:rFonts w:ascii="Verdana" w:hAnsi="Verdana"/>
          <w:sz w:val="16"/>
          <w:szCs w:val="16"/>
        </w:rPr>
      </w:pPr>
      <w:r w:rsidRPr="003F08DF">
        <w:rPr>
          <w:rStyle w:val="FootnoteReference"/>
          <w:rFonts w:ascii="Verdana" w:hAnsi="Verdana"/>
          <w:sz w:val="16"/>
          <w:szCs w:val="16"/>
        </w:rPr>
        <w:footnoteRef/>
      </w:r>
      <w:r w:rsidRPr="003F08DF">
        <w:rPr>
          <w:rFonts w:ascii="Verdana" w:hAnsi="Verdana"/>
          <w:sz w:val="16"/>
          <w:szCs w:val="16"/>
        </w:rPr>
        <w:t xml:space="preserve"> The World Bank Data</w:t>
      </w:r>
    </w:p>
  </w:footnote>
  <w:footnote w:id="8">
    <w:p w14:paraId="751ED576" w14:textId="26E9AF23" w:rsidR="00231845" w:rsidRPr="003F08DF" w:rsidRDefault="00231845">
      <w:pPr>
        <w:pStyle w:val="FootnoteText"/>
        <w:rPr>
          <w:rFonts w:ascii="Verdana" w:hAnsi="Verdana"/>
        </w:rPr>
      </w:pPr>
      <w:r w:rsidRPr="003F08DF">
        <w:rPr>
          <w:rStyle w:val="FootnoteReference"/>
          <w:rFonts w:ascii="Verdana" w:hAnsi="Verdana"/>
          <w:sz w:val="16"/>
          <w:szCs w:val="16"/>
        </w:rPr>
        <w:footnoteRef/>
      </w:r>
      <w:r w:rsidRPr="003F08DF">
        <w:rPr>
          <w:rFonts w:ascii="Verdana" w:hAnsi="Verdana"/>
          <w:sz w:val="16"/>
          <w:szCs w:val="16"/>
        </w:rPr>
        <w:t xml:space="preserve"> OECD DAC data</w:t>
      </w:r>
      <w:r w:rsidRPr="003F08DF">
        <w:rPr>
          <w:rFonts w:ascii="Verdana" w:hAnsi="Verdana"/>
        </w:rPr>
        <w:t xml:space="preserve"> </w:t>
      </w:r>
    </w:p>
  </w:footnote>
  <w:footnote w:id="9">
    <w:p w14:paraId="64CE407D" w14:textId="41F00437" w:rsidR="00231845" w:rsidRPr="00837257" w:rsidRDefault="00231845" w:rsidP="00837257">
      <w:pPr>
        <w:pStyle w:val="FootnoteText"/>
        <w:rPr>
          <w:rFonts w:ascii="Verdana" w:hAnsi="Verdana"/>
          <w:sz w:val="16"/>
          <w:szCs w:val="16"/>
        </w:rPr>
      </w:pPr>
      <w:r w:rsidRPr="003F08DF">
        <w:rPr>
          <w:rStyle w:val="FootnoteReference"/>
          <w:rFonts w:ascii="Verdana" w:hAnsi="Verdana"/>
        </w:rPr>
        <w:footnoteRef/>
      </w:r>
      <w:r w:rsidRPr="003F08DF">
        <w:rPr>
          <w:rFonts w:ascii="Verdana" w:hAnsi="Verdana"/>
        </w:rPr>
        <w:t xml:space="preserve"> </w:t>
      </w:r>
      <w:r w:rsidRPr="003F08DF">
        <w:rPr>
          <w:rFonts w:ascii="Verdana" w:hAnsi="Verdana"/>
          <w:sz w:val="16"/>
          <w:szCs w:val="16"/>
        </w:rPr>
        <w:t>Auditor General’s Office. 2019. Performance Audit of Preparedness of Implementation of Sustainable Development Goals. Government of Maldives.</w:t>
      </w:r>
      <w:r w:rsidRPr="00837257">
        <w:rPr>
          <w:rFonts w:ascii="Verdana" w:hAnsi="Verdana"/>
          <w:sz w:val="16"/>
          <w:szCs w:val="16"/>
        </w:rPr>
        <w:t xml:space="preserve"> </w:t>
      </w:r>
    </w:p>
  </w:footnote>
  <w:footnote w:id="10">
    <w:p w14:paraId="60EACBC3" w14:textId="0174B1C4" w:rsidR="00231845" w:rsidRPr="001E5E29" w:rsidRDefault="00231845" w:rsidP="0069791E">
      <w:pPr>
        <w:pStyle w:val="FootnoteText"/>
        <w:rPr>
          <w:rFonts w:ascii="Verdana" w:hAnsi="Verdana"/>
          <w:sz w:val="16"/>
          <w:szCs w:val="16"/>
        </w:rPr>
      </w:pPr>
      <w:r w:rsidRPr="001E5E29">
        <w:rPr>
          <w:rStyle w:val="FootnoteReference"/>
          <w:rFonts w:ascii="Verdana" w:hAnsi="Verdana"/>
          <w:sz w:val="16"/>
          <w:szCs w:val="16"/>
        </w:rPr>
        <w:footnoteRef/>
      </w:r>
      <w:r w:rsidRPr="001E5E29">
        <w:rPr>
          <w:rFonts w:ascii="Verdana" w:hAnsi="Verdana"/>
          <w:sz w:val="16"/>
          <w:szCs w:val="16"/>
        </w:rPr>
        <w:t xml:space="preserve"> This will be the basis for release of funding for the second year of implementation. </w:t>
      </w:r>
    </w:p>
  </w:footnote>
  <w:footnote w:id="11">
    <w:p w14:paraId="1F4C5130" w14:textId="05B60773" w:rsidR="00231845" w:rsidRPr="001E5E29" w:rsidRDefault="00231845" w:rsidP="0069791E">
      <w:pPr>
        <w:pStyle w:val="FootnoteText"/>
        <w:rPr>
          <w:rFonts w:ascii="Verdana" w:hAnsi="Verdana"/>
          <w:sz w:val="16"/>
          <w:szCs w:val="16"/>
        </w:rPr>
      </w:pPr>
      <w:r w:rsidRPr="001E5E29">
        <w:rPr>
          <w:rStyle w:val="FootnoteReference"/>
          <w:rFonts w:ascii="Verdana" w:hAnsi="Verdana"/>
          <w:sz w:val="16"/>
          <w:szCs w:val="16"/>
        </w:rPr>
        <w:footnoteRef/>
      </w:r>
      <w:r w:rsidRPr="001E5E29">
        <w:rPr>
          <w:rFonts w:ascii="Verdana" w:hAnsi="Verdana"/>
          <w:sz w:val="16"/>
          <w:szCs w:val="16"/>
        </w:rPr>
        <w:t xml:space="preserve"> </w:t>
      </w:r>
      <w:hyperlink r:id="rId2" w:history="1">
        <w:r w:rsidRPr="001E5E29">
          <w:rPr>
            <w:rStyle w:val="Hyperlink"/>
            <w:rFonts w:ascii="Verdana" w:hAnsi="Verdana"/>
            <w:sz w:val="16"/>
            <w:szCs w:val="16"/>
          </w:rPr>
          <w:t>How to manage a gender responsive evaluation, Evaluation handbook</w:t>
        </w:r>
      </w:hyperlink>
      <w:r w:rsidRPr="001E5E29">
        <w:rPr>
          <w:rFonts w:ascii="Verdana" w:hAnsi="Verdana"/>
          <w:sz w:val="16"/>
          <w:szCs w:val="16"/>
        </w:rPr>
        <w:t>, UN Women, 2015</w:t>
      </w:r>
    </w:p>
    <w:p w14:paraId="4DD372F5" w14:textId="63619D08" w:rsidR="00231845" w:rsidRPr="001E5E29" w:rsidRDefault="00231845" w:rsidP="0069791E">
      <w:pPr>
        <w:pStyle w:val="FootnoteText"/>
        <w:rPr>
          <w:rFonts w:ascii="Verdana" w:hAnsi="Verdana"/>
          <w:sz w:val="16"/>
          <w:szCs w:val="16"/>
        </w:rPr>
      </w:pPr>
    </w:p>
  </w:footnote>
  <w:footnote w:id="12">
    <w:p w14:paraId="04A1EAC7" w14:textId="77777777" w:rsidR="00612315" w:rsidRPr="001E5E29" w:rsidRDefault="00612315" w:rsidP="00F06D1D">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Additional resources mobilized for other/ additional sector</w:t>
      </w:r>
      <w:r>
        <w:rPr>
          <w:rFonts w:ascii="Verdana" w:hAnsi="Verdana" w:cstheme="minorHAnsi"/>
          <w:sz w:val="16"/>
          <w:szCs w:val="16"/>
        </w:rPr>
        <w:t xml:space="preserve"> </w:t>
      </w:r>
      <w:r w:rsidRPr="001E5E29">
        <w:rPr>
          <w:rFonts w:ascii="Verdana" w:hAnsi="Verdana" w:cstheme="minorHAnsi"/>
          <w:sz w:val="16"/>
          <w:szCs w:val="16"/>
        </w:rPr>
        <w:t>/s</w:t>
      </w:r>
      <w:r>
        <w:rPr>
          <w:rFonts w:ascii="Verdana" w:hAnsi="Verdana" w:cstheme="minorHAnsi"/>
          <w:sz w:val="16"/>
          <w:szCs w:val="16"/>
        </w:rPr>
        <w:t xml:space="preserve"> or through new sources/means</w:t>
      </w:r>
    </w:p>
  </w:footnote>
  <w:footnote w:id="13">
    <w:p w14:paraId="52B89062" w14:textId="77777777" w:rsidR="00612315" w:rsidRPr="001E5E29" w:rsidRDefault="00612315" w:rsidP="00F06D1D">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Additional resources mobilized for the same multi-sectoral solution.</w:t>
      </w:r>
    </w:p>
  </w:footnote>
  <w:footnote w:id="14">
    <w:p w14:paraId="5ED6AB08" w14:textId="77777777" w:rsidR="00204951" w:rsidRPr="001E5E29" w:rsidRDefault="00204951" w:rsidP="0069791E">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 xml:space="preserve"> This will be disaggregated by (1) government/public partners (2) civil society partners and (3) private sector partners</w:t>
      </w:r>
    </w:p>
  </w:footnote>
  <w:footnote w:id="15">
    <w:p w14:paraId="0DF536C5" w14:textId="77777777" w:rsidR="00231845" w:rsidRPr="001E5E29" w:rsidRDefault="00231845" w:rsidP="0069791E">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 xml:space="preserve"> Annual survey will provide qualitative information towards this indicator.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88A2" w14:textId="0649E3A5" w:rsidR="00231845" w:rsidRPr="00004618" w:rsidRDefault="00231845" w:rsidP="0046438A">
    <w:pPr>
      <w:jc w:val="right"/>
      <w:rPr>
        <w:rFonts w:ascii="Arial" w:hAnsi="Arial" w:cs="Arial"/>
        <w:b/>
        <w:bCs/>
        <w:sz w:val="24"/>
        <w:szCs w:val="24"/>
      </w:rPr>
    </w:pPr>
    <w:r w:rsidRPr="000277DC">
      <w:rPr>
        <w:noProof/>
        <w:color w:val="000000" w:themeColor="text1"/>
      </w:rPr>
      <w:drawing>
        <wp:inline distT="0" distB="0" distL="0" distR="0" wp14:anchorId="5BAEED42" wp14:editId="60D0DF48">
          <wp:extent cx="1833880" cy="4527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880" cy="452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bullet"/>
      <w:lvlText w:val="-"/>
      <w:lvlJc w:val="left"/>
      <w:pPr>
        <w:ind w:left="0" w:firstLine="0"/>
      </w:pPr>
      <w:rPr>
        <w:rFonts w:ascii="Times New Roman" w:hAnsi="Times New Roman"/>
        <w:b w:val="0"/>
        <w:i/>
        <w:smallCaps w:val="0"/>
        <w:strike w:val="0"/>
        <w:dstrike w:val="0"/>
        <w:color w:val="000000"/>
        <w:spacing w:val="0"/>
        <w:w w:val="100"/>
        <w:position w:val="0"/>
        <w:sz w:val="23"/>
        <w:u w:val="none"/>
        <w:effect w:val="none"/>
      </w:rPr>
    </w:lvl>
    <w:lvl w:ilvl="1">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15:restartNumberingAfterBreak="0">
    <w:nsid w:val="02B33196"/>
    <w:multiLevelType w:val="hybridMultilevel"/>
    <w:tmpl w:val="66788B86"/>
    <w:lvl w:ilvl="0" w:tplc="FB0A78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C6004"/>
    <w:multiLevelType w:val="hybridMultilevel"/>
    <w:tmpl w:val="5A3C2A92"/>
    <w:lvl w:ilvl="0" w:tplc="7136954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527DA"/>
    <w:multiLevelType w:val="hybridMultilevel"/>
    <w:tmpl w:val="2F30A1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5955848"/>
    <w:multiLevelType w:val="hybridMultilevel"/>
    <w:tmpl w:val="1526A9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57344"/>
    <w:multiLevelType w:val="hybridMultilevel"/>
    <w:tmpl w:val="9A36AD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A093607"/>
    <w:multiLevelType w:val="hybridMultilevel"/>
    <w:tmpl w:val="F10610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D0D6C20"/>
    <w:multiLevelType w:val="hybridMultilevel"/>
    <w:tmpl w:val="93FE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9249CC"/>
    <w:multiLevelType w:val="hybridMultilevel"/>
    <w:tmpl w:val="F5C2CF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87FE7"/>
    <w:multiLevelType w:val="hybridMultilevel"/>
    <w:tmpl w:val="2AA0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6603D"/>
    <w:multiLevelType w:val="hybridMultilevel"/>
    <w:tmpl w:val="88B87720"/>
    <w:lvl w:ilvl="0" w:tplc="1ADCDB0A">
      <w:start w:val="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962C2"/>
    <w:multiLevelType w:val="hybridMultilevel"/>
    <w:tmpl w:val="D35C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55DCF"/>
    <w:multiLevelType w:val="hybridMultilevel"/>
    <w:tmpl w:val="3D86C2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E056F86"/>
    <w:multiLevelType w:val="hybridMultilevel"/>
    <w:tmpl w:val="4FD6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E2456"/>
    <w:multiLevelType w:val="hybridMultilevel"/>
    <w:tmpl w:val="CA06DB44"/>
    <w:lvl w:ilvl="0" w:tplc="D3D2BA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7B53A7"/>
    <w:multiLevelType w:val="hybridMultilevel"/>
    <w:tmpl w:val="A16C2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29431B4"/>
    <w:multiLevelType w:val="hybridMultilevel"/>
    <w:tmpl w:val="9306D1C8"/>
    <w:lvl w:ilvl="0" w:tplc="295E8512">
      <w:start w:val="3"/>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FE790B"/>
    <w:multiLevelType w:val="hybridMultilevel"/>
    <w:tmpl w:val="B91C19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939305B"/>
    <w:multiLevelType w:val="hybridMultilevel"/>
    <w:tmpl w:val="B8BE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D27CDD"/>
    <w:multiLevelType w:val="hybridMultilevel"/>
    <w:tmpl w:val="F1AE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E200D3"/>
    <w:multiLevelType w:val="multilevel"/>
    <w:tmpl w:val="ABD455B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0E75C11"/>
    <w:multiLevelType w:val="hybridMultilevel"/>
    <w:tmpl w:val="BA388B7E"/>
    <w:lvl w:ilvl="0" w:tplc="F98E870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843CE"/>
    <w:multiLevelType w:val="multilevel"/>
    <w:tmpl w:val="F9F032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3B265F7B"/>
    <w:multiLevelType w:val="hybridMultilevel"/>
    <w:tmpl w:val="83445674"/>
    <w:lvl w:ilvl="0" w:tplc="1C090001">
      <w:start w:val="1"/>
      <w:numFmt w:val="bullet"/>
      <w:lvlText w:val=""/>
      <w:lvlJc w:val="left"/>
      <w:pPr>
        <w:ind w:left="1080" w:hanging="72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0B81901"/>
    <w:multiLevelType w:val="hybridMultilevel"/>
    <w:tmpl w:val="AF7A6A4C"/>
    <w:lvl w:ilvl="0" w:tplc="ED72ECB6">
      <w:start w:val="9"/>
      <w:numFmt w:val="bullet"/>
      <w:lvlText w:val="-"/>
      <w:lvlJc w:val="left"/>
      <w:pPr>
        <w:ind w:left="3600" w:hanging="360"/>
      </w:pPr>
      <w:rPr>
        <w:rFonts w:ascii="Verdana" w:eastAsia="Calibri" w:hAnsi="Verdan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E0046B"/>
    <w:multiLevelType w:val="hybridMultilevel"/>
    <w:tmpl w:val="281E50F6"/>
    <w:lvl w:ilvl="0" w:tplc="830CEA82">
      <w:start w:val="9"/>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B03016"/>
    <w:multiLevelType w:val="hybridMultilevel"/>
    <w:tmpl w:val="AE907D20"/>
    <w:lvl w:ilvl="0" w:tplc="853A7CA6">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941563"/>
    <w:multiLevelType w:val="hybridMultilevel"/>
    <w:tmpl w:val="6A4EA3F6"/>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5A9A1079"/>
    <w:multiLevelType w:val="hybridMultilevel"/>
    <w:tmpl w:val="C7F824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A488C"/>
    <w:multiLevelType w:val="hybridMultilevel"/>
    <w:tmpl w:val="D6C6EDE2"/>
    <w:lvl w:ilvl="0" w:tplc="F2D2007E">
      <w:start w:val="1"/>
      <w:numFmt w:val="bullet"/>
      <w:lvlText w:val="o"/>
      <w:lvlJc w:val="left"/>
      <w:pPr>
        <w:ind w:left="1080" w:hanging="360"/>
      </w:pPr>
      <w:rPr>
        <w:rFonts w:ascii="Courier New" w:hAnsi="Courier New" w:cs="Courier New"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30042E9"/>
    <w:multiLevelType w:val="hybridMultilevel"/>
    <w:tmpl w:val="5B44C6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5A95F37"/>
    <w:multiLevelType w:val="hybridMultilevel"/>
    <w:tmpl w:val="FE3AB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CB5BEE"/>
    <w:multiLevelType w:val="hybridMultilevel"/>
    <w:tmpl w:val="1682D1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6EF3922"/>
    <w:multiLevelType w:val="hybridMultilevel"/>
    <w:tmpl w:val="CC08F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43A73"/>
    <w:multiLevelType w:val="hybridMultilevel"/>
    <w:tmpl w:val="6C3CD3F8"/>
    <w:lvl w:ilvl="0" w:tplc="C2364D9A">
      <w:start w:val="2021"/>
      <w:numFmt w:val="bullet"/>
      <w:lvlText w:val="-"/>
      <w:lvlJc w:val="left"/>
      <w:pPr>
        <w:ind w:left="720" w:hanging="360"/>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77845"/>
    <w:multiLevelType w:val="hybridMultilevel"/>
    <w:tmpl w:val="BA9A28DA"/>
    <w:lvl w:ilvl="0" w:tplc="99B072E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F990791"/>
    <w:multiLevelType w:val="hybridMultilevel"/>
    <w:tmpl w:val="45C8702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5811F50"/>
    <w:multiLevelType w:val="hybridMultilevel"/>
    <w:tmpl w:val="CB24BBA0"/>
    <w:lvl w:ilvl="0" w:tplc="B7E0882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5940AED"/>
    <w:multiLevelType w:val="multilevel"/>
    <w:tmpl w:val="D1567534"/>
    <w:lvl w:ilvl="0">
      <w:start w:val="1"/>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0127DD"/>
    <w:multiLevelType w:val="hybridMultilevel"/>
    <w:tmpl w:val="DA4AE5AC"/>
    <w:lvl w:ilvl="0" w:tplc="90CED9D8">
      <w:start w:val="6"/>
      <w:numFmt w:val="decimal"/>
      <w:lvlText w:val="%1."/>
      <w:lvlJc w:val="left"/>
      <w:pPr>
        <w:ind w:left="1080" w:hanging="360"/>
      </w:pPr>
      <w:rPr>
        <w:rFonts w:hint="default"/>
        <w:b/>
        <w:i w:val="0"/>
        <w:color w:val="auto"/>
        <w:sz w:val="32"/>
        <w:szCs w:val="32"/>
      </w:rPr>
    </w:lvl>
    <w:lvl w:ilvl="1" w:tplc="04090005">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D737B6"/>
    <w:multiLevelType w:val="hybridMultilevel"/>
    <w:tmpl w:val="1316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954BE0"/>
    <w:multiLevelType w:val="hybridMultilevel"/>
    <w:tmpl w:val="140A3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8E2441C"/>
    <w:multiLevelType w:val="hybridMultilevel"/>
    <w:tmpl w:val="9176F578"/>
    <w:lvl w:ilvl="0" w:tplc="C4B4DAAC">
      <w:start w:val="1"/>
      <w:numFmt w:val="bullet"/>
      <w:lvlText w:val="o"/>
      <w:lvlJc w:val="left"/>
      <w:pPr>
        <w:ind w:left="360" w:hanging="360"/>
      </w:pPr>
      <w:rPr>
        <w:rFonts w:ascii="Courier New" w:hAnsi="Courier New" w:cs="Courier New" w:hint="default"/>
        <w:sz w:val="40"/>
      </w:rPr>
    </w:lvl>
    <w:lvl w:ilvl="1" w:tplc="0409000F">
      <w:start w:val="1"/>
      <w:numFmt w:val="decimal"/>
      <w:lvlText w:val="%2."/>
      <w:lvlJc w:val="left"/>
      <w:pPr>
        <w:ind w:left="1080" w:hanging="360"/>
      </w:pPr>
      <w:rPr>
        <w:rFonts w:hint="default"/>
        <w:b w:val="0"/>
        <w:i w:val="0"/>
        <w:color w:val="auto"/>
        <w:sz w:val="36"/>
        <w:szCs w:val="32"/>
      </w:rPr>
    </w:lvl>
    <w:lvl w:ilvl="2" w:tplc="501EF3B6">
      <w:start w:val="1"/>
      <w:numFmt w:val="bullet"/>
      <w:lvlText w:val=""/>
      <w:lvlJc w:val="left"/>
      <w:pPr>
        <w:ind w:left="1800" w:hanging="360"/>
      </w:pPr>
      <w:rPr>
        <w:rFonts w:ascii="Wingdings" w:hAnsi="Wingdings" w:hint="default"/>
        <w:color w:val="auto"/>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43413F"/>
    <w:multiLevelType w:val="hybridMultilevel"/>
    <w:tmpl w:val="851265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A6C5107"/>
    <w:multiLevelType w:val="hybridMultilevel"/>
    <w:tmpl w:val="9D6A5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B310A6"/>
    <w:multiLevelType w:val="hybridMultilevel"/>
    <w:tmpl w:val="CF3836C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E91F8C"/>
    <w:multiLevelType w:val="hybridMultilevel"/>
    <w:tmpl w:val="C24A0D32"/>
    <w:lvl w:ilvl="0" w:tplc="AD94826A">
      <w:start w:val="4"/>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F23F71"/>
    <w:multiLevelType w:val="multilevel"/>
    <w:tmpl w:val="14DED7FE"/>
    <w:lvl w:ilvl="0">
      <w:start w:val="1"/>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8"/>
  </w:num>
  <w:num w:numId="3">
    <w:abstractNumId w:val="29"/>
  </w:num>
  <w:num w:numId="4">
    <w:abstractNumId w:val="42"/>
  </w:num>
  <w:num w:numId="5">
    <w:abstractNumId w:val="45"/>
  </w:num>
  <w:num w:numId="6">
    <w:abstractNumId w:val="39"/>
  </w:num>
  <w:num w:numId="7">
    <w:abstractNumId w:val="27"/>
  </w:num>
  <w:num w:numId="8">
    <w:abstractNumId w:val="37"/>
  </w:num>
  <w:num w:numId="9">
    <w:abstractNumId w:val="46"/>
  </w:num>
  <w:num w:numId="10">
    <w:abstractNumId w:val="25"/>
  </w:num>
  <w:num w:numId="11">
    <w:abstractNumId w:val="24"/>
  </w:num>
  <w:num w:numId="12">
    <w:abstractNumId w:val="16"/>
  </w:num>
  <w:num w:numId="13">
    <w:abstractNumId w:val="22"/>
  </w:num>
  <w:num w:numId="14">
    <w:abstractNumId w:val="7"/>
  </w:num>
  <w:num w:numId="15">
    <w:abstractNumId w:val="20"/>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9">
    <w:abstractNumId w:val="15"/>
  </w:num>
  <w:num w:numId="20">
    <w:abstractNumId w:val="41"/>
  </w:num>
  <w:num w:numId="21">
    <w:abstractNumId w:val="17"/>
  </w:num>
  <w:num w:numId="22">
    <w:abstractNumId w:val="43"/>
  </w:num>
  <w:num w:numId="23">
    <w:abstractNumId w:val="5"/>
  </w:num>
  <w:num w:numId="24">
    <w:abstractNumId w:val="6"/>
  </w:num>
  <w:num w:numId="25">
    <w:abstractNumId w:val="36"/>
  </w:num>
  <w:num w:numId="26">
    <w:abstractNumId w:val="30"/>
  </w:num>
  <w:num w:numId="27">
    <w:abstractNumId w:val="12"/>
  </w:num>
  <w:num w:numId="28">
    <w:abstractNumId w:val="32"/>
  </w:num>
  <w:num w:numId="29">
    <w:abstractNumId w:val="33"/>
  </w:num>
  <w:num w:numId="30">
    <w:abstractNumId w:val="26"/>
  </w:num>
  <w:num w:numId="31">
    <w:abstractNumId w:val="19"/>
  </w:num>
  <w:num w:numId="32">
    <w:abstractNumId w:val="13"/>
  </w:num>
  <w:num w:numId="33">
    <w:abstractNumId w:val="3"/>
  </w:num>
  <w:num w:numId="34">
    <w:abstractNumId w:val="35"/>
  </w:num>
  <w:num w:numId="35">
    <w:abstractNumId w:val="23"/>
  </w:num>
  <w:num w:numId="36">
    <w:abstractNumId w:val="14"/>
  </w:num>
  <w:num w:numId="37">
    <w:abstractNumId w:val="44"/>
  </w:num>
  <w:num w:numId="38">
    <w:abstractNumId w:val="21"/>
  </w:num>
  <w:num w:numId="39">
    <w:abstractNumId w:val="31"/>
  </w:num>
  <w:num w:numId="40">
    <w:abstractNumId w:val="28"/>
  </w:num>
  <w:num w:numId="41">
    <w:abstractNumId w:val="11"/>
  </w:num>
  <w:num w:numId="42">
    <w:abstractNumId w:val="18"/>
  </w:num>
  <w:num w:numId="43">
    <w:abstractNumId w:val="40"/>
  </w:num>
  <w:num w:numId="44">
    <w:abstractNumId w:val="2"/>
  </w:num>
  <w:num w:numId="45">
    <w:abstractNumId w:val="10"/>
  </w:num>
  <w:num w:numId="46">
    <w:abstractNumId w:val="9"/>
  </w:num>
  <w:num w:numId="47">
    <w:abstractNumId w:val="34"/>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c0M7IwNLEwMzc1NzdT0lEKTi0uzszPAykwrAUAhT900ywAAAA="/>
  </w:docVars>
  <w:rsids>
    <w:rsidRoot w:val="00CB6FF3"/>
    <w:rsid w:val="00000473"/>
    <w:rsid w:val="0000094B"/>
    <w:rsid w:val="000022A2"/>
    <w:rsid w:val="000023E0"/>
    <w:rsid w:val="00003348"/>
    <w:rsid w:val="00003B41"/>
    <w:rsid w:val="00003EC2"/>
    <w:rsid w:val="0000518B"/>
    <w:rsid w:val="000056E0"/>
    <w:rsid w:val="00005712"/>
    <w:rsid w:val="0000578B"/>
    <w:rsid w:val="000063AB"/>
    <w:rsid w:val="00006D1E"/>
    <w:rsid w:val="00012631"/>
    <w:rsid w:val="00012BC4"/>
    <w:rsid w:val="000134E4"/>
    <w:rsid w:val="00013635"/>
    <w:rsid w:val="00013ECE"/>
    <w:rsid w:val="00014C31"/>
    <w:rsid w:val="00016B7D"/>
    <w:rsid w:val="0002029F"/>
    <w:rsid w:val="000216C1"/>
    <w:rsid w:val="00021FA4"/>
    <w:rsid w:val="00022320"/>
    <w:rsid w:val="00022C25"/>
    <w:rsid w:val="00022C42"/>
    <w:rsid w:val="00024A89"/>
    <w:rsid w:val="0002671A"/>
    <w:rsid w:val="0002700F"/>
    <w:rsid w:val="0002784B"/>
    <w:rsid w:val="00027C0E"/>
    <w:rsid w:val="00030C5D"/>
    <w:rsid w:val="00031610"/>
    <w:rsid w:val="000319EB"/>
    <w:rsid w:val="00031AB5"/>
    <w:rsid w:val="00033333"/>
    <w:rsid w:val="000341B9"/>
    <w:rsid w:val="000345A4"/>
    <w:rsid w:val="00035E4F"/>
    <w:rsid w:val="0004158B"/>
    <w:rsid w:val="00041BE9"/>
    <w:rsid w:val="00044ED2"/>
    <w:rsid w:val="00045E85"/>
    <w:rsid w:val="00045F57"/>
    <w:rsid w:val="00046162"/>
    <w:rsid w:val="000477FB"/>
    <w:rsid w:val="00047E8A"/>
    <w:rsid w:val="00050222"/>
    <w:rsid w:val="00050577"/>
    <w:rsid w:val="00052011"/>
    <w:rsid w:val="000573E9"/>
    <w:rsid w:val="00060525"/>
    <w:rsid w:val="00060C23"/>
    <w:rsid w:val="00061478"/>
    <w:rsid w:val="00062B31"/>
    <w:rsid w:val="00063767"/>
    <w:rsid w:val="00063EC4"/>
    <w:rsid w:val="00065765"/>
    <w:rsid w:val="00065B5C"/>
    <w:rsid w:val="000664EB"/>
    <w:rsid w:val="00066D8E"/>
    <w:rsid w:val="000671F4"/>
    <w:rsid w:val="000703AC"/>
    <w:rsid w:val="000711FB"/>
    <w:rsid w:val="00071909"/>
    <w:rsid w:val="00072739"/>
    <w:rsid w:val="000727A5"/>
    <w:rsid w:val="000741B7"/>
    <w:rsid w:val="00075050"/>
    <w:rsid w:val="000753CF"/>
    <w:rsid w:val="00075AEA"/>
    <w:rsid w:val="00075BB1"/>
    <w:rsid w:val="00075ED6"/>
    <w:rsid w:val="000763F6"/>
    <w:rsid w:val="00076403"/>
    <w:rsid w:val="0007720D"/>
    <w:rsid w:val="00077624"/>
    <w:rsid w:val="000806F3"/>
    <w:rsid w:val="00080BE1"/>
    <w:rsid w:val="00081438"/>
    <w:rsid w:val="0008155C"/>
    <w:rsid w:val="00081CE7"/>
    <w:rsid w:val="000822C2"/>
    <w:rsid w:val="000838A7"/>
    <w:rsid w:val="000847F3"/>
    <w:rsid w:val="00085542"/>
    <w:rsid w:val="00085F14"/>
    <w:rsid w:val="00090206"/>
    <w:rsid w:val="00090261"/>
    <w:rsid w:val="00090578"/>
    <w:rsid w:val="00091751"/>
    <w:rsid w:val="00093932"/>
    <w:rsid w:val="00093EAC"/>
    <w:rsid w:val="00094462"/>
    <w:rsid w:val="00095092"/>
    <w:rsid w:val="00095570"/>
    <w:rsid w:val="00096561"/>
    <w:rsid w:val="00096D6A"/>
    <w:rsid w:val="00097DB1"/>
    <w:rsid w:val="000A331F"/>
    <w:rsid w:val="000A39EF"/>
    <w:rsid w:val="000A3A09"/>
    <w:rsid w:val="000A3F28"/>
    <w:rsid w:val="000A58E3"/>
    <w:rsid w:val="000A68B0"/>
    <w:rsid w:val="000A789D"/>
    <w:rsid w:val="000B0875"/>
    <w:rsid w:val="000B3DD8"/>
    <w:rsid w:val="000B72AC"/>
    <w:rsid w:val="000B72D2"/>
    <w:rsid w:val="000C1666"/>
    <w:rsid w:val="000C258A"/>
    <w:rsid w:val="000C26DD"/>
    <w:rsid w:val="000C3073"/>
    <w:rsid w:val="000C3A4A"/>
    <w:rsid w:val="000C55F7"/>
    <w:rsid w:val="000C6916"/>
    <w:rsid w:val="000D00F4"/>
    <w:rsid w:val="000D085E"/>
    <w:rsid w:val="000D3117"/>
    <w:rsid w:val="000D3B73"/>
    <w:rsid w:val="000D5D7B"/>
    <w:rsid w:val="000D5E25"/>
    <w:rsid w:val="000D6DA4"/>
    <w:rsid w:val="000D764A"/>
    <w:rsid w:val="000E0B95"/>
    <w:rsid w:val="000E1140"/>
    <w:rsid w:val="000E1A24"/>
    <w:rsid w:val="000E1FB0"/>
    <w:rsid w:val="000E282A"/>
    <w:rsid w:val="000E2D14"/>
    <w:rsid w:val="000E5CF1"/>
    <w:rsid w:val="000E6567"/>
    <w:rsid w:val="000F0BDA"/>
    <w:rsid w:val="000F1161"/>
    <w:rsid w:val="000F162E"/>
    <w:rsid w:val="000F1D1C"/>
    <w:rsid w:val="000F4472"/>
    <w:rsid w:val="000F4B2E"/>
    <w:rsid w:val="0010004F"/>
    <w:rsid w:val="001008F4"/>
    <w:rsid w:val="00101BF3"/>
    <w:rsid w:val="0010275D"/>
    <w:rsid w:val="0010367F"/>
    <w:rsid w:val="00104DEF"/>
    <w:rsid w:val="001101DD"/>
    <w:rsid w:val="001119E7"/>
    <w:rsid w:val="00111C2A"/>
    <w:rsid w:val="001124CF"/>
    <w:rsid w:val="001133AD"/>
    <w:rsid w:val="001134F6"/>
    <w:rsid w:val="00116BF7"/>
    <w:rsid w:val="001176AE"/>
    <w:rsid w:val="00117759"/>
    <w:rsid w:val="00120747"/>
    <w:rsid w:val="00122620"/>
    <w:rsid w:val="0012551F"/>
    <w:rsid w:val="00126097"/>
    <w:rsid w:val="001309D5"/>
    <w:rsid w:val="001311A1"/>
    <w:rsid w:val="00132A3D"/>
    <w:rsid w:val="00134EF2"/>
    <w:rsid w:val="00135CF7"/>
    <w:rsid w:val="001376CE"/>
    <w:rsid w:val="001402CB"/>
    <w:rsid w:val="00142A4E"/>
    <w:rsid w:val="001430D3"/>
    <w:rsid w:val="00145162"/>
    <w:rsid w:val="0014560F"/>
    <w:rsid w:val="00146AAC"/>
    <w:rsid w:val="00150360"/>
    <w:rsid w:val="001506A4"/>
    <w:rsid w:val="001536E8"/>
    <w:rsid w:val="0015540F"/>
    <w:rsid w:val="00156496"/>
    <w:rsid w:val="001569F5"/>
    <w:rsid w:val="00157FC3"/>
    <w:rsid w:val="001602D6"/>
    <w:rsid w:val="00160919"/>
    <w:rsid w:val="001609A2"/>
    <w:rsid w:val="0016115A"/>
    <w:rsid w:val="001621D5"/>
    <w:rsid w:val="001627D5"/>
    <w:rsid w:val="001629B0"/>
    <w:rsid w:val="00162CFB"/>
    <w:rsid w:val="0016461F"/>
    <w:rsid w:val="00165569"/>
    <w:rsid w:val="00165752"/>
    <w:rsid w:val="00165A49"/>
    <w:rsid w:val="00166AF9"/>
    <w:rsid w:val="00167586"/>
    <w:rsid w:val="00170FB6"/>
    <w:rsid w:val="0017119A"/>
    <w:rsid w:val="001730E9"/>
    <w:rsid w:val="0017327D"/>
    <w:rsid w:val="0017596E"/>
    <w:rsid w:val="001776EF"/>
    <w:rsid w:val="00177E00"/>
    <w:rsid w:val="0018025A"/>
    <w:rsid w:val="00181869"/>
    <w:rsid w:val="00182536"/>
    <w:rsid w:val="001845C8"/>
    <w:rsid w:val="001853F0"/>
    <w:rsid w:val="00186126"/>
    <w:rsid w:val="001906ED"/>
    <w:rsid w:val="001933DF"/>
    <w:rsid w:val="00195769"/>
    <w:rsid w:val="00195B1F"/>
    <w:rsid w:val="001A239C"/>
    <w:rsid w:val="001A24A0"/>
    <w:rsid w:val="001A34F8"/>
    <w:rsid w:val="001A37D6"/>
    <w:rsid w:val="001A402D"/>
    <w:rsid w:val="001A58DA"/>
    <w:rsid w:val="001A679A"/>
    <w:rsid w:val="001B03E5"/>
    <w:rsid w:val="001B159A"/>
    <w:rsid w:val="001B37C5"/>
    <w:rsid w:val="001B3A55"/>
    <w:rsid w:val="001B4D85"/>
    <w:rsid w:val="001B54FE"/>
    <w:rsid w:val="001B65D5"/>
    <w:rsid w:val="001C0E74"/>
    <w:rsid w:val="001C6DBE"/>
    <w:rsid w:val="001C70BB"/>
    <w:rsid w:val="001D0AF2"/>
    <w:rsid w:val="001D0ECE"/>
    <w:rsid w:val="001D33C1"/>
    <w:rsid w:val="001D3E37"/>
    <w:rsid w:val="001E4134"/>
    <w:rsid w:val="001E416A"/>
    <w:rsid w:val="001E5270"/>
    <w:rsid w:val="001E5465"/>
    <w:rsid w:val="001E5AE8"/>
    <w:rsid w:val="001E5E29"/>
    <w:rsid w:val="001E7732"/>
    <w:rsid w:val="001E79C9"/>
    <w:rsid w:val="001E7AF4"/>
    <w:rsid w:val="001F056C"/>
    <w:rsid w:val="001F18A1"/>
    <w:rsid w:val="001F18D4"/>
    <w:rsid w:val="001F28E4"/>
    <w:rsid w:val="001F499A"/>
    <w:rsid w:val="001F4F44"/>
    <w:rsid w:val="00204951"/>
    <w:rsid w:val="00205992"/>
    <w:rsid w:val="00207B22"/>
    <w:rsid w:val="00211BBB"/>
    <w:rsid w:val="002128BF"/>
    <w:rsid w:val="0021473B"/>
    <w:rsid w:val="00215479"/>
    <w:rsid w:val="00215CCA"/>
    <w:rsid w:val="0021696A"/>
    <w:rsid w:val="00217215"/>
    <w:rsid w:val="00217A51"/>
    <w:rsid w:val="002202A8"/>
    <w:rsid w:val="0022056D"/>
    <w:rsid w:val="00220758"/>
    <w:rsid w:val="0022081E"/>
    <w:rsid w:val="00222132"/>
    <w:rsid w:val="00222ADF"/>
    <w:rsid w:val="00225158"/>
    <w:rsid w:val="0022752E"/>
    <w:rsid w:val="00227DD1"/>
    <w:rsid w:val="00231845"/>
    <w:rsid w:val="00231CDD"/>
    <w:rsid w:val="00231E94"/>
    <w:rsid w:val="002335DA"/>
    <w:rsid w:val="002344FF"/>
    <w:rsid w:val="00234E30"/>
    <w:rsid w:val="00235FA7"/>
    <w:rsid w:val="0023654A"/>
    <w:rsid w:val="00243061"/>
    <w:rsid w:val="002432F6"/>
    <w:rsid w:val="00244224"/>
    <w:rsid w:val="00244609"/>
    <w:rsid w:val="002452B0"/>
    <w:rsid w:val="002455AF"/>
    <w:rsid w:val="00245E1A"/>
    <w:rsid w:val="002475E7"/>
    <w:rsid w:val="002510A5"/>
    <w:rsid w:val="00252016"/>
    <w:rsid w:val="00252126"/>
    <w:rsid w:val="00253B72"/>
    <w:rsid w:val="0025465C"/>
    <w:rsid w:val="0025482A"/>
    <w:rsid w:val="00255B62"/>
    <w:rsid w:val="00256576"/>
    <w:rsid w:val="00256BC6"/>
    <w:rsid w:val="00256D72"/>
    <w:rsid w:val="002610C8"/>
    <w:rsid w:val="002618E5"/>
    <w:rsid w:val="002632E6"/>
    <w:rsid w:val="00263C25"/>
    <w:rsid w:val="00263CE7"/>
    <w:rsid w:val="00265D3E"/>
    <w:rsid w:val="002668E1"/>
    <w:rsid w:val="0027272D"/>
    <w:rsid w:val="00272844"/>
    <w:rsid w:val="00274EB5"/>
    <w:rsid w:val="00275BC7"/>
    <w:rsid w:val="0027691C"/>
    <w:rsid w:val="00280041"/>
    <w:rsid w:val="00282101"/>
    <w:rsid w:val="002829E0"/>
    <w:rsid w:val="00283A85"/>
    <w:rsid w:val="00283B9F"/>
    <w:rsid w:val="002843D4"/>
    <w:rsid w:val="002852BC"/>
    <w:rsid w:val="0028609B"/>
    <w:rsid w:val="00287374"/>
    <w:rsid w:val="0029066F"/>
    <w:rsid w:val="0029232A"/>
    <w:rsid w:val="00293692"/>
    <w:rsid w:val="00293C86"/>
    <w:rsid w:val="00295940"/>
    <w:rsid w:val="00295CF0"/>
    <w:rsid w:val="00297532"/>
    <w:rsid w:val="002A1756"/>
    <w:rsid w:val="002A23AB"/>
    <w:rsid w:val="002A2626"/>
    <w:rsid w:val="002A2645"/>
    <w:rsid w:val="002A3957"/>
    <w:rsid w:val="002A4B90"/>
    <w:rsid w:val="002A4C81"/>
    <w:rsid w:val="002A6098"/>
    <w:rsid w:val="002A6C1F"/>
    <w:rsid w:val="002B03A5"/>
    <w:rsid w:val="002B32FD"/>
    <w:rsid w:val="002B3737"/>
    <w:rsid w:val="002B39CB"/>
    <w:rsid w:val="002B68BC"/>
    <w:rsid w:val="002B7ACE"/>
    <w:rsid w:val="002C139E"/>
    <w:rsid w:val="002C2DDE"/>
    <w:rsid w:val="002C599F"/>
    <w:rsid w:val="002C5BC1"/>
    <w:rsid w:val="002C7085"/>
    <w:rsid w:val="002C71FC"/>
    <w:rsid w:val="002C74D1"/>
    <w:rsid w:val="002C7ADB"/>
    <w:rsid w:val="002D1111"/>
    <w:rsid w:val="002D1E93"/>
    <w:rsid w:val="002D2C20"/>
    <w:rsid w:val="002D4E67"/>
    <w:rsid w:val="002D5373"/>
    <w:rsid w:val="002D75CA"/>
    <w:rsid w:val="002D75CD"/>
    <w:rsid w:val="002D7E20"/>
    <w:rsid w:val="002E1514"/>
    <w:rsid w:val="002E1BEE"/>
    <w:rsid w:val="002E31AE"/>
    <w:rsid w:val="002E3748"/>
    <w:rsid w:val="002E4AF1"/>
    <w:rsid w:val="002E648A"/>
    <w:rsid w:val="002F0CAE"/>
    <w:rsid w:val="002F18F9"/>
    <w:rsid w:val="002F5365"/>
    <w:rsid w:val="002F59B5"/>
    <w:rsid w:val="00302271"/>
    <w:rsid w:val="003022FE"/>
    <w:rsid w:val="00303BD2"/>
    <w:rsid w:val="00307C32"/>
    <w:rsid w:val="00310107"/>
    <w:rsid w:val="0031492D"/>
    <w:rsid w:val="00320068"/>
    <w:rsid w:val="003210EE"/>
    <w:rsid w:val="003216CD"/>
    <w:rsid w:val="00322376"/>
    <w:rsid w:val="003228CD"/>
    <w:rsid w:val="00322C99"/>
    <w:rsid w:val="003241CF"/>
    <w:rsid w:val="00325146"/>
    <w:rsid w:val="003251EC"/>
    <w:rsid w:val="0032690C"/>
    <w:rsid w:val="0032693F"/>
    <w:rsid w:val="00327885"/>
    <w:rsid w:val="00330157"/>
    <w:rsid w:val="003303CD"/>
    <w:rsid w:val="00330A9F"/>
    <w:rsid w:val="0033185A"/>
    <w:rsid w:val="0033234A"/>
    <w:rsid w:val="0033450B"/>
    <w:rsid w:val="003349C0"/>
    <w:rsid w:val="00334CCE"/>
    <w:rsid w:val="00334D66"/>
    <w:rsid w:val="00336D71"/>
    <w:rsid w:val="00336E2C"/>
    <w:rsid w:val="00337232"/>
    <w:rsid w:val="00337773"/>
    <w:rsid w:val="0033777A"/>
    <w:rsid w:val="00342D19"/>
    <w:rsid w:val="00343897"/>
    <w:rsid w:val="00345A33"/>
    <w:rsid w:val="00346C97"/>
    <w:rsid w:val="00347ED9"/>
    <w:rsid w:val="00350AD3"/>
    <w:rsid w:val="003511A5"/>
    <w:rsid w:val="00353801"/>
    <w:rsid w:val="00354098"/>
    <w:rsid w:val="00357710"/>
    <w:rsid w:val="003602A4"/>
    <w:rsid w:val="003609F5"/>
    <w:rsid w:val="00361C55"/>
    <w:rsid w:val="003648EA"/>
    <w:rsid w:val="003654BB"/>
    <w:rsid w:val="003657B8"/>
    <w:rsid w:val="00367AE7"/>
    <w:rsid w:val="003701D4"/>
    <w:rsid w:val="00371213"/>
    <w:rsid w:val="003720B2"/>
    <w:rsid w:val="00372FCE"/>
    <w:rsid w:val="00373CC8"/>
    <w:rsid w:val="003741E6"/>
    <w:rsid w:val="0037697D"/>
    <w:rsid w:val="003809D6"/>
    <w:rsid w:val="00380DC8"/>
    <w:rsid w:val="00382119"/>
    <w:rsid w:val="00382712"/>
    <w:rsid w:val="00382933"/>
    <w:rsid w:val="00384881"/>
    <w:rsid w:val="003867C9"/>
    <w:rsid w:val="00386F69"/>
    <w:rsid w:val="00390C43"/>
    <w:rsid w:val="00390C53"/>
    <w:rsid w:val="00391070"/>
    <w:rsid w:val="003941E4"/>
    <w:rsid w:val="00394598"/>
    <w:rsid w:val="003A080B"/>
    <w:rsid w:val="003A114B"/>
    <w:rsid w:val="003A37EB"/>
    <w:rsid w:val="003A4550"/>
    <w:rsid w:val="003A51B9"/>
    <w:rsid w:val="003A52F3"/>
    <w:rsid w:val="003A77F2"/>
    <w:rsid w:val="003A7D47"/>
    <w:rsid w:val="003B1B86"/>
    <w:rsid w:val="003B237B"/>
    <w:rsid w:val="003B2B29"/>
    <w:rsid w:val="003B5186"/>
    <w:rsid w:val="003B6016"/>
    <w:rsid w:val="003B6E26"/>
    <w:rsid w:val="003C1A9B"/>
    <w:rsid w:val="003C1D9D"/>
    <w:rsid w:val="003C3959"/>
    <w:rsid w:val="003C652E"/>
    <w:rsid w:val="003C6740"/>
    <w:rsid w:val="003C716A"/>
    <w:rsid w:val="003D0BDF"/>
    <w:rsid w:val="003D4054"/>
    <w:rsid w:val="003D4C64"/>
    <w:rsid w:val="003D6C1C"/>
    <w:rsid w:val="003D749E"/>
    <w:rsid w:val="003D7E57"/>
    <w:rsid w:val="003E125B"/>
    <w:rsid w:val="003E3E3D"/>
    <w:rsid w:val="003E4757"/>
    <w:rsid w:val="003E609B"/>
    <w:rsid w:val="003E63F8"/>
    <w:rsid w:val="003E65C1"/>
    <w:rsid w:val="003E7BAF"/>
    <w:rsid w:val="003F08DF"/>
    <w:rsid w:val="003F3644"/>
    <w:rsid w:val="003F44E8"/>
    <w:rsid w:val="003F497F"/>
    <w:rsid w:val="003F5464"/>
    <w:rsid w:val="003F6F97"/>
    <w:rsid w:val="004019C0"/>
    <w:rsid w:val="00402771"/>
    <w:rsid w:val="00403EE5"/>
    <w:rsid w:val="00404454"/>
    <w:rsid w:val="00405578"/>
    <w:rsid w:val="0040745D"/>
    <w:rsid w:val="00407922"/>
    <w:rsid w:val="004079B9"/>
    <w:rsid w:val="00411763"/>
    <w:rsid w:val="0041187E"/>
    <w:rsid w:val="0041215F"/>
    <w:rsid w:val="004121C4"/>
    <w:rsid w:val="00412535"/>
    <w:rsid w:val="00413319"/>
    <w:rsid w:val="00413BE7"/>
    <w:rsid w:val="0041440C"/>
    <w:rsid w:val="00414F8F"/>
    <w:rsid w:val="00416547"/>
    <w:rsid w:val="0042144B"/>
    <w:rsid w:val="004217CB"/>
    <w:rsid w:val="00425C87"/>
    <w:rsid w:val="00426A91"/>
    <w:rsid w:val="00430F07"/>
    <w:rsid w:val="0043230A"/>
    <w:rsid w:val="00432991"/>
    <w:rsid w:val="00432BE4"/>
    <w:rsid w:val="00433FBD"/>
    <w:rsid w:val="0043626B"/>
    <w:rsid w:val="004370E4"/>
    <w:rsid w:val="00437DBC"/>
    <w:rsid w:val="00440A24"/>
    <w:rsid w:val="004413E8"/>
    <w:rsid w:val="00442736"/>
    <w:rsid w:val="004427EB"/>
    <w:rsid w:val="00442DF4"/>
    <w:rsid w:val="00443E35"/>
    <w:rsid w:val="00443EA0"/>
    <w:rsid w:val="0044422B"/>
    <w:rsid w:val="004442C7"/>
    <w:rsid w:val="0044512F"/>
    <w:rsid w:val="00445372"/>
    <w:rsid w:val="00445C6A"/>
    <w:rsid w:val="00447AF2"/>
    <w:rsid w:val="00447E0B"/>
    <w:rsid w:val="00450C4F"/>
    <w:rsid w:val="00451790"/>
    <w:rsid w:val="0045255A"/>
    <w:rsid w:val="00455D7E"/>
    <w:rsid w:val="00456F94"/>
    <w:rsid w:val="00461B34"/>
    <w:rsid w:val="00461CB2"/>
    <w:rsid w:val="0046438A"/>
    <w:rsid w:val="004653E8"/>
    <w:rsid w:val="00470489"/>
    <w:rsid w:val="0047099D"/>
    <w:rsid w:val="00470DED"/>
    <w:rsid w:val="004723F2"/>
    <w:rsid w:val="00476186"/>
    <w:rsid w:val="00476508"/>
    <w:rsid w:val="0047691E"/>
    <w:rsid w:val="004773DE"/>
    <w:rsid w:val="0047790D"/>
    <w:rsid w:val="00477AEA"/>
    <w:rsid w:val="00480395"/>
    <w:rsid w:val="00480BB5"/>
    <w:rsid w:val="004814F6"/>
    <w:rsid w:val="00482348"/>
    <w:rsid w:val="00482C50"/>
    <w:rsid w:val="00484EFD"/>
    <w:rsid w:val="00490B30"/>
    <w:rsid w:val="00491A5A"/>
    <w:rsid w:val="00493F45"/>
    <w:rsid w:val="00494B60"/>
    <w:rsid w:val="00495C09"/>
    <w:rsid w:val="00495F7D"/>
    <w:rsid w:val="004A1F2C"/>
    <w:rsid w:val="004A2229"/>
    <w:rsid w:val="004A399E"/>
    <w:rsid w:val="004A6775"/>
    <w:rsid w:val="004A69EE"/>
    <w:rsid w:val="004A79C1"/>
    <w:rsid w:val="004B2B38"/>
    <w:rsid w:val="004B39C3"/>
    <w:rsid w:val="004B54CB"/>
    <w:rsid w:val="004B5914"/>
    <w:rsid w:val="004B6E34"/>
    <w:rsid w:val="004B79FE"/>
    <w:rsid w:val="004C02D3"/>
    <w:rsid w:val="004C107E"/>
    <w:rsid w:val="004C2B40"/>
    <w:rsid w:val="004C3281"/>
    <w:rsid w:val="004C32CB"/>
    <w:rsid w:val="004C382C"/>
    <w:rsid w:val="004C4BA9"/>
    <w:rsid w:val="004C6DB4"/>
    <w:rsid w:val="004C7D5F"/>
    <w:rsid w:val="004C7DE3"/>
    <w:rsid w:val="004D00ED"/>
    <w:rsid w:val="004D1CB0"/>
    <w:rsid w:val="004D236B"/>
    <w:rsid w:val="004D23D8"/>
    <w:rsid w:val="004D2F1E"/>
    <w:rsid w:val="004D350A"/>
    <w:rsid w:val="004D3FB2"/>
    <w:rsid w:val="004D47D9"/>
    <w:rsid w:val="004D507B"/>
    <w:rsid w:val="004D568A"/>
    <w:rsid w:val="004D7D73"/>
    <w:rsid w:val="004E0A90"/>
    <w:rsid w:val="004E0D49"/>
    <w:rsid w:val="004E0FB6"/>
    <w:rsid w:val="004E123F"/>
    <w:rsid w:val="004E21B9"/>
    <w:rsid w:val="004E3142"/>
    <w:rsid w:val="004E3F15"/>
    <w:rsid w:val="004E5F95"/>
    <w:rsid w:val="004E68DF"/>
    <w:rsid w:val="004E7206"/>
    <w:rsid w:val="004E7E39"/>
    <w:rsid w:val="004F2783"/>
    <w:rsid w:val="004F32E8"/>
    <w:rsid w:val="004F3703"/>
    <w:rsid w:val="004F3BE7"/>
    <w:rsid w:val="004F4B15"/>
    <w:rsid w:val="004F560C"/>
    <w:rsid w:val="004F6165"/>
    <w:rsid w:val="004F7930"/>
    <w:rsid w:val="00500B19"/>
    <w:rsid w:val="00502CE5"/>
    <w:rsid w:val="005066E3"/>
    <w:rsid w:val="005079BC"/>
    <w:rsid w:val="005110F8"/>
    <w:rsid w:val="00512E5E"/>
    <w:rsid w:val="00513866"/>
    <w:rsid w:val="00520AC1"/>
    <w:rsid w:val="00523876"/>
    <w:rsid w:val="005267B8"/>
    <w:rsid w:val="00526E1B"/>
    <w:rsid w:val="00527B56"/>
    <w:rsid w:val="005308FF"/>
    <w:rsid w:val="0053117C"/>
    <w:rsid w:val="00531273"/>
    <w:rsid w:val="005316A9"/>
    <w:rsid w:val="00532C69"/>
    <w:rsid w:val="00535ACE"/>
    <w:rsid w:val="0053637E"/>
    <w:rsid w:val="00537040"/>
    <w:rsid w:val="00540EC4"/>
    <w:rsid w:val="0054165D"/>
    <w:rsid w:val="00541E50"/>
    <w:rsid w:val="00542AB7"/>
    <w:rsid w:val="00544EEC"/>
    <w:rsid w:val="00545361"/>
    <w:rsid w:val="00545700"/>
    <w:rsid w:val="005469AA"/>
    <w:rsid w:val="0054727B"/>
    <w:rsid w:val="00552C69"/>
    <w:rsid w:val="00555980"/>
    <w:rsid w:val="00555B68"/>
    <w:rsid w:val="0055683F"/>
    <w:rsid w:val="00562507"/>
    <w:rsid w:val="00562799"/>
    <w:rsid w:val="0056525E"/>
    <w:rsid w:val="00565A1A"/>
    <w:rsid w:val="00570DDD"/>
    <w:rsid w:val="00570F6C"/>
    <w:rsid w:val="005713A0"/>
    <w:rsid w:val="005718FE"/>
    <w:rsid w:val="00572487"/>
    <w:rsid w:val="00572775"/>
    <w:rsid w:val="00572B8B"/>
    <w:rsid w:val="0057310A"/>
    <w:rsid w:val="00573EC7"/>
    <w:rsid w:val="0057528B"/>
    <w:rsid w:val="00575754"/>
    <w:rsid w:val="00575E1F"/>
    <w:rsid w:val="005776C2"/>
    <w:rsid w:val="00577FA8"/>
    <w:rsid w:val="00582615"/>
    <w:rsid w:val="005826B9"/>
    <w:rsid w:val="00582C96"/>
    <w:rsid w:val="00583FAE"/>
    <w:rsid w:val="00585258"/>
    <w:rsid w:val="005870A3"/>
    <w:rsid w:val="00587DEB"/>
    <w:rsid w:val="00591932"/>
    <w:rsid w:val="00593702"/>
    <w:rsid w:val="0059549D"/>
    <w:rsid w:val="005A09EA"/>
    <w:rsid w:val="005A21FA"/>
    <w:rsid w:val="005A43CB"/>
    <w:rsid w:val="005A5603"/>
    <w:rsid w:val="005A5C2B"/>
    <w:rsid w:val="005A5C42"/>
    <w:rsid w:val="005A65A8"/>
    <w:rsid w:val="005A7460"/>
    <w:rsid w:val="005A7473"/>
    <w:rsid w:val="005A76E6"/>
    <w:rsid w:val="005A7986"/>
    <w:rsid w:val="005A7FDA"/>
    <w:rsid w:val="005B1825"/>
    <w:rsid w:val="005B3FC8"/>
    <w:rsid w:val="005B715A"/>
    <w:rsid w:val="005C00AA"/>
    <w:rsid w:val="005C09B6"/>
    <w:rsid w:val="005C2311"/>
    <w:rsid w:val="005C3D27"/>
    <w:rsid w:val="005C57F2"/>
    <w:rsid w:val="005C68EC"/>
    <w:rsid w:val="005D028E"/>
    <w:rsid w:val="005D0C25"/>
    <w:rsid w:val="005D15BC"/>
    <w:rsid w:val="005D15C2"/>
    <w:rsid w:val="005D267C"/>
    <w:rsid w:val="005D2D7F"/>
    <w:rsid w:val="005D35F9"/>
    <w:rsid w:val="005D5724"/>
    <w:rsid w:val="005D68BA"/>
    <w:rsid w:val="005D750C"/>
    <w:rsid w:val="005D7E9E"/>
    <w:rsid w:val="005E156F"/>
    <w:rsid w:val="005E36D2"/>
    <w:rsid w:val="005E6D2C"/>
    <w:rsid w:val="005E70E7"/>
    <w:rsid w:val="005E7A8B"/>
    <w:rsid w:val="005E7D69"/>
    <w:rsid w:val="005F1B99"/>
    <w:rsid w:val="005F3EB8"/>
    <w:rsid w:val="005F4EC4"/>
    <w:rsid w:val="00600C91"/>
    <w:rsid w:val="00601837"/>
    <w:rsid w:val="006024AB"/>
    <w:rsid w:val="00603103"/>
    <w:rsid w:val="00603CF9"/>
    <w:rsid w:val="00604870"/>
    <w:rsid w:val="00605275"/>
    <w:rsid w:val="00605A41"/>
    <w:rsid w:val="00607AA2"/>
    <w:rsid w:val="00607DA9"/>
    <w:rsid w:val="00610B53"/>
    <w:rsid w:val="006118C3"/>
    <w:rsid w:val="00612315"/>
    <w:rsid w:val="00615159"/>
    <w:rsid w:val="00620612"/>
    <w:rsid w:val="006212F9"/>
    <w:rsid w:val="00622A47"/>
    <w:rsid w:val="006259B3"/>
    <w:rsid w:val="00630172"/>
    <w:rsid w:val="006305A4"/>
    <w:rsid w:val="00632073"/>
    <w:rsid w:val="006325F7"/>
    <w:rsid w:val="00632A65"/>
    <w:rsid w:val="00632F45"/>
    <w:rsid w:val="00635038"/>
    <w:rsid w:val="00635903"/>
    <w:rsid w:val="00637B40"/>
    <w:rsid w:val="00642E33"/>
    <w:rsid w:val="006440D1"/>
    <w:rsid w:val="00644E3C"/>
    <w:rsid w:val="006451B9"/>
    <w:rsid w:val="00646F63"/>
    <w:rsid w:val="00651EFD"/>
    <w:rsid w:val="00652EE8"/>
    <w:rsid w:val="00654253"/>
    <w:rsid w:val="00654BC5"/>
    <w:rsid w:val="006556DA"/>
    <w:rsid w:val="0066033C"/>
    <w:rsid w:val="006606CD"/>
    <w:rsid w:val="006617F1"/>
    <w:rsid w:val="0066274C"/>
    <w:rsid w:val="0066315C"/>
    <w:rsid w:val="006655E8"/>
    <w:rsid w:val="006663A4"/>
    <w:rsid w:val="006707EE"/>
    <w:rsid w:val="00670C72"/>
    <w:rsid w:val="00671A6C"/>
    <w:rsid w:val="00671FE3"/>
    <w:rsid w:val="00672B29"/>
    <w:rsid w:val="00673749"/>
    <w:rsid w:val="00675959"/>
    <w:rsid w:val="00677290"/>
    <w:rsid w:val="00677E62"/>
    <w:rsid w:val="00680127"/>
    <w:rsid w:val="0068078D"/>
    <w:rsid w:val="006825F1"/>
    <w:rsid w:val="00686716"/>
    <w:rsid w:val="00687ED9"/>
    <w:rsid w:val="00690EA0"/>
    <w:rsid w:val="00691A61"/>
    <w:rsid w:val="0069363B"/>
    <w:rsid w:val="00694167"/>
    <w:rsid w:val="0069444D"/>
    <w:rsid w:val="0069575B"/>
    <w:rsid w:val="00696361"/>
    <w:rsid w:val="00696B15"/>
    <w:rsid w:val="0069791E"/>
    <w:rsid w:val="00697D38"/>
    <w:rsid w:val="006A076A"/>
    <w:rsid w:val="006A0A55"/>
    <w:rsid w:val="006A17FA"/>
    <w:rsid w:val="006A259A"/>
    <w:rsid w:val="006A3A6C"/>
    <w:rsid w:val="006A4965"/>
    <w:rsid w:val="006A4A97"/>
    <w:rsid w:val="006A4FD0"/>
    <w:rsid w:val="006A51FB"/>
    <w:rsid w:val="006A7736"/>
    <w:rsid w:val="006B0FA7"/>
    <w:rsid w:val="006B283A"/>
    <w:rsid w:val="006B30ED"/>
    <w:rsid w:val="006B4DF2"/>
    <w:rsid w:val="006B5803"/>
    <w:rsid w:val="006B75F9"/>
    <w:rsid w:val="006C096C"/>
    <w:rsid w:val="006C0B20"/>
    <w:rsid w:val="006C0DD7"/>
    <w:rsid w:val="006C2381"/>
    <w:rsid w:val="006C2A43"/>
    <w:rsid w:val="006C3AD8"/>
    <w:rsid w:val="006C4182"/>
    <w:rsid w:val="006C45B4"/>
    <w:rsid w:val="006C52CD"/>
    <w:rsid w:val="006C6D57"/>
    <w:rsid w:val="006C76F5"/>
    <w:rsid w:val="006C7A4F"/>
    <w:rsid w:val="006D044D"/>
    <w:rsid w:val="006D05FF"/>
    <w:rsid w:val="006D0ECA"/>
    <w:rsid w:val="006D1D82"/>
    <w:rsid w:val="006D2405"/>
    <w:rsid w:val="006D3F19"/>
    <w:rsid w:val="006D5184"/>
    <w:rsid w:val="006D54CA"/>
    <w:rsid w:val="006D64E4"/>
    <w:rsid w:val="006D7DB6"/>
    <w:rsid w:val="006E028E"/>
    <w:rsid w:val="006E2314"/>
    <w:rsid w:val="006E25D0"/>
    <w:rsid w:val="006E36CC"/>
    <w:rsid w:val="006E40ED"/>
    <w:rsid w:val="006E4433"/>
    <w:rsid w:val="006E7F34"/>
    <w:rsid w:val="006F02BD"/>
    <w:rsid w:val="006F295A"/>
    <w:rsid w:val="006F2BC0"/>
    <w:rsid w:val="006F34C0"/>
    <w:rsid w:val="006F4269"/>
    <w:rsid w:val="006F45D1"/>
    <w:rsid w:val="006F4A57"/>
    <w:rsid w:val="006F5460"/>
    <w:rsid w:val="006F548C"/>
    <w:rsid w:val="006F5C17"/>
    <w:rsid w:val="006F63A4"/>
    <w:rsid w:val="006F6A89"/>
    <w:rsid w:val="006F6CB4"/>
    <w:rsid w:val="006F6E52"/>
    <w:rsid w:val="006F7E2C"/>
    <w:rsid w:val="0070078F"/>
    <w:rsid w:val="007019E1"/>
    <w:rsid w:val="00701E36"/>
    <w:rsid w:val="00704612"/>
    <w:rsid w:val="00705B63"/>
    <w:rsid w:val="0071322D"/>
    <w:rsid w:val="007135D6"/>
    <w:rsid w:val="00713EE2"/>
    <w:rsid w:val="00714119"/>
    <w:rsid w:val="00714316"/>
    <w:rsid w:val="00715D44"/>
    <w:rsid w:val="007164C5"/>
    <w:rsid w:val="00720482"/>
    <w:rsid w:val="00721833"/>
    <w:rsid w:val="00721CC9"/>
    <w:rsid w:val="00722BA0"/>
    <w:rsid w:val="00724A8B"/>
    <w:rsid w:val="0072544A"/>
    <w:rsid w:val="007304FE"/>
    <w:rsid w:val="00731A10"/>
    <w:rsid w:val="00734536"/>
    <w:rsid w:val="00734D27"/>
    <w:rsid w:val="007361D8"/>
    <w:rsid w:val="0073663C"/>
    <w:rsid w:val="00740286"/>
    <w:rsid w:val="00740924"/>
    <w:rsid w:val="00741614"/>
    <w:rsid w:val="0074284C"/>
    <w:rsid w:val="00742D66"/>
    <w:rsid w:val="00743F0E"/>
    <w:rsid w:val="0074423A"/>
    <w:rsid w:val="00745919"/>
    <w:rsid w:val="00745997"/>
    <w:rsid w:val="00745D57"/>
    <w:rsid w:val="007506F3"/>
    <w:rsid w:val="00752469"/>
    <w:rsid w:val="00752E9A"/>
    <w:rsid w:val="00753CF2"/>
    <w:rsid w:val="00754826"/>
    <w:rsid w:val="00754ABA"/>
    <w:rsid w:val="007563DE"/>
    <w:rsid w:val="007603C6"/>
    <w:rsid w:val="00760815"/>
    <w:rsid w:val="007636FF"/>
    <w:rsid w:val="007646EE"/>
    <w:rsid w:val="00765EE6"/>
    <w:rsid w:val="00766311"/>
    <w:rsid w:val="00767D4A"/>
    <w:rsid w:val="007704DB"/>
    <w:rsid w:val="0077155F"/>
    <w:rsid w:val="00771649"/>
    <w:rsid w:val="00773ECD"/>
    <w:rsid w:val="00774043"/>
    <w:rsid w:val="007742E2"/>
    <w:rsid w:val="007755AD"/>
    <w:rsid w:val="00775A32"/>
    <w:rsid w:val="00775E4C"/>
    <w:rsid w:val="00777D3A"/>
    <w:rsid w:val="00781BCF"/>
    <w:rsid w:val="00782329"/>
    <w:rsid w:val="007829FD"/>
    <w:rsid w:val="007865DC"/>
    <w:rsid w:val="0078699A"/>
    <w:rsid w:val="00786DD5"/>
    <w:rsid w:val="00791847"/>
    <w:rsid w:val="00791CFC"/>
    <w:rsid w:val="0079221E"/>
    <w:rsid w:val="0079268C"/>
    <w:rsid w:val="0079588A"/>
    <w:rsid w:val="007963EC"/>
    <w:rsid w:val="007967CD"/>
    <w:rsid w:val="00796FA4"/>
    <w:rsid w:val="00797AB3"/>
    <w:rsid w:val="007A0731"/>
    <w:rsid w:val="007A2393"/>
    <w:rsid w:val="007A7AAD"/>
    <w:rsid w:val="007B2184"/>
    <w:rsid w:val="007B359D"/>
    <w:rsid w:val="007B3C93"/>
    <w:rsid w:val="007B48E2"/>
    <w:rsid w:val="007B63A8"/>
    <w:rsid w:val="007B6D19"/>
    <w:rsid w:val="007C0644"/>
    <w:rsid w:val="007C07C7"/>
    <w:rsid w:val="007C0A54"/>
    <w:rsid w:val="007C1463"/>
    <w:rsid w:val="007C2B88"/>
    <w:rsid w:val="007C2EEA"/>
    <w:rsid w:val="007C35B7"/>
    <w:rsid w:val="007C6985"/>
    <w:rsid w:val="007C79C6"/>
    <w:rsid w:val="007D02AA"/>
    <w:rsid w:val="007D128E"/>
    <w:rsid w:val="007D1714"/>
    <w:rsid w:val="007D2C7C"/>
    <w:rsid w:val="007D2F42"/>
    <w:rsid w:val="007D31A7"/>
    <w:rsid w:val="007D3B84"/>
    <w:rsid w:val="007D5FBC"/>
    <w:rsid w:val="007D7AB0"/>
    <w:rsid w:val="007E0A88"/>
    <w:rsid w:val="007E1B3C"/>
    <w:rsid w:val="007E1D70"/>
    <w:rsid w:val="007E25EC"/>
    <w:rsid w:val="007E2AFD"/>
    <w:rsid w:val="007E4440"/>
    <w:rsid w:val="007E4EC8"/>
    <w:rsid w:val="007E7DE8"/>
    <w:rsid w:val="007F112B"/>
    <w:rsid w:val="007F314E"/>
    <w:rsid w:val="007F44BB"/>
    <w:rsid w:val="007F609B"/>
    <w:rsid w:val="00800324"/>
    <w:rsid w:val="00802488"/>
    <w:rsid w:val="0080456B"/>
    <w:rsid w:val="00804D19"/>
    <w:rsid w:val="00806093"/>
    <w:rsid w:val="00806C83"/>
    <w:rsid w:val="00807727"/>
    <w:rsid w:val="00811779"/>
    <w:rsid w:val="00812DA3"/>
    <w:rsid w:val="0081556D"/>
    <w:rsid w:val="00815D8E"/>
    <w:rsid w:val="00816FD3"/>
    <w:rsid w:val="00817C69"/>
    <w:rsid w:val="00817C81"/>
    <w:rsid w:val="00820870"/>
    <w:rsid w:val="00822C98"/>
    <w:rsid w:val="00823845"/>
    <w:rsid w:val="00823846"/>
    <w:rsid w:val="00823CB7"/>
    <w:rsid w:val="00824010"/>
    <w:rsid w:val="0082423E"/>
    <w:rsid w:val="00824C66"/>
    <w:rsid w:val="00824FE8"/>
    <w:rsid w:val="008266A4"/>
    <w:rsid w:val="00827A23"/>
    <w:rsid w:val="00833B2E"/>
    <w:rsid w:val="00834906"/>
    <w:rsid w:val="0083538A"/>
    <w:rsid w:val="00835D46"/>
    <w:rsid w:val="008362E9"/>
    <w:rsid w:val="00837257"/>
    <w:rsid w:val="00837624"/>
    <w:rsid w:val="0084658B"/>
    <w:rsid w:val="00850173"/>
    <w:rsid w:val="00851852"/>
    <w:rsid w:val="00852339"/>
    <w:rsid w:val="008525BE"/>
    <w:rsid w:val="00853D13"/>
    <w:rsid w:val="008546D5"/>
    <w:rsid w:val="0085481B"/>
    <w:rsid w:val="00855560"/>
    <w:rsid w:val="00856ED5"/>
    <w:rsid w:val="0085793F"/>
    <w:rsid w:val="008618C0"/>
    <w:rsid w:val="0086249C"/>
    <w:rsid w:val="00862829"/>
    <w:rsid w:val="008633A8"/>
    <w:rsid w:val="008642E1"/>
    <w:rsid w:val="00865257"/>
    <w:rsid w:val="00865F2C"/>
    <w:rsid w:val="00865F6F"/>
    <w:rsid w:val="00866901"/>
    <w:rsid w:val="00866DC6"/>
    <w:rsid w:val="0087096D"/>
    <w:rsid w:val="00870C16"/>
    <w:rsid w:val="00870CD8"/>
    <w:rsid w:val="00877D5D"/>
    <w:rsid w:val="0088343A"/>
    <w:rsid w:val="0088372F"/>
    <w:rsid w:val="00885A45"/>
    <w:rsid w:val="00892E59"/>
    <w:rsid w:val="0089582F"/>
    <w:rsid w:val="00896339"/>
    <w:rsid w:val="008A0E5D"/>
    <w:rsid w:val="008A1440"/>
    <w:rsid w:val="008A2F5E"/>
    <w:rsid w:val="008A3A0D"/>
    <w:rsid w:val="008A473D"/>
    <w:rsid w:val="008A4B90"/>
    <w:rsid w:val="008A5462"/>
    <w:rsid w:val="008A5EF5"/>
    <w:rsid w:val="008A66FC"/>
    <w:rsid w:val="008A6CF8"/>
    <w:rsid w:val="008A6D92"/>
    <w:rsid w:val="008A74AF"/>
    <w:rsid w:val="008A7FB3"/>
    <w:rsid w:val="008B02D0"/>
    <w:rsid w:val="008B3082"/>
    <w:rsid w:val="008B3988"/>
    <w:rsid w:val="008B48A7"/>
    <w:rsid w:val="008B4AF1"/>
    <w:rsid w:val="008B4CAD"/>
    <w:rsid w:val="008B5EF6"/>
    <w:rsid w:val="008B7FA2"/>
    <w:rsid w:val="008C098B"/>
    <w:rsid w:val="008C0EEC"/>
    <w:rsid w:val="008C12C3"/>
    <w:rsid w:val="008C145F"/>
    <w:rsid w:val="008C1790"/>
    <w:rsid w:val="008C193B"/>
    <w:rsid w:val="008C54E3"/>
    <w:rsid w:val="008C5ABC"/>
    <w:rsid w:val="008C5CAF"/>
    <w:rsid w:val="008C69EB"/>
    <w:rsid w:val="008D11F2"/>
    <w:rsid w:val="008D1D45"/>
    <w:rsid w:val="008D3228"/>
    <w:rsid w:val="008D370F"/>
    <w:rsid w:val="008D59F9"/>
    <w:rsid w:val="008E07E5"/>
    <w:rsid w:val="008E1DAB"/>
    <w:rsid w:val="008E201C"/>
    <w:rsid w:val="008E35E5"/>
    <w:rsid w:val="008E39C4"/>
    <w:rsid w:val="008E4428"/>
    <w:rsid w:val="008E45E5"/>
    <w:rsid w:val="008E4FF7"/>
    <w:rsid w:val="008E6F92"/>
    <w:rsid w:val="008F2DDD"/>
    <w:rsid w:val="008F317A"/>
    <w:rsid w:val="008F45A0"/>
    <w:rsid w:val="008F4C43"/>
    <w:rsid w:val="008F4FB3"/>
    <w:rsid w:val="008F5092"/>
    <w:rsid w:val="008F50F7"/>
    <w:rsid w:val="008F5D73"/>
    <w:rsid w:val="008F6500"/>
    <w:rsid w:val="009035D6"/>
    <w:rsid w:val="00907009"/>
    <w:rsid w:val="009116AF"/>
    <w:rsid w:val="009120C0"/>
    <w:rsid w:val="00913759"/>
    <w:rsid w:val="0091428D"/>
    <w:rsid w:val="00915711"/>
    <w:rsid w:val="009163AD"/>
    <w:rsid w:val="009169B3"/>
    <w:rsid w:val="00916FFC"/>
    <w:rsid w:val="00917071"/>
    <w:rsid w:val="00917150"/>
    <w:rsid w:val="009208B5"/>
    <w:rsid w:val="00922E1C"/>
    <w:rsid w:val="009232F4"/>
    <w:rsid w:val="00926437"/>
    <w:rsid w:val="009278B6"/>
    <w:rsid w:val="0093032C"/>
    <w:rsid w:val="0093108A"/>
    <w:rsid w:val="0093195D"/>
    <w:rsid w:val="00931E79"/>
    <w:rsid w:val="00933BF0"/>
    <w:rsid w:val="00941878"/>
    <w:rsid w:val="00943369"/>
    <w:rsid w:val="009439EA"/>
    <w:rsid w:val="00943BBD"/>
    <w:rsid w:val="00944DCE"/>
    <w:rsid w:val="00946F48"/>
    <w:rsid w:val="00947A4C"/>
    <w:rsid w:val="00950702"/>
    <w:rsid w:val="009517AB"/>
    <w:rsid w:val="009544CC"/>
    <w:rsid w:val="009556EA"/>
    <w:rsid w:val="00955A46"/>
    <w:rsid w:val="00955D6F"/>
    <w:rsid w:val="00962BC6"/>
    <w:rsid w:val="00964606"/>
    <w:rsid w:val="009667BF"/>
    <w:rsid w:val="009667D3"/>
    <w:rsid w:val="0096775E"/>
    <w:rsid w:val="00973628"/>
    <w:rsid w:val="00976A3D"/>
    <w:rsid w:val="00977C37"/>
    <w:rsid w:val="0098282F"/>
    <w:rsid w:val="009855BA"/>
    <w:rsid w:val="00985843"/>
    <w:rsid w:val="009863E6"/>
    <w:rsid w:val="00986994"/>
    <w:rsid w:val="00987D92"/>
    <w:rsid w:val="009910CD"/>
    <w:rsid w:val="00991B7B"/>
    <w:rsid w:val="00992D52"/>
    <w:rsid w:val="009936D9"/>
    <w:rsid w:val="00993E2E"/>
    <w:rsid w:val="00995617"/>
    <w:rsid w:val="00997BC8"/>
    <w:rsid w:val="00997DF0"/>
    <w:rsid w:val="009A0A7E"/>
    <w:rsid w:val="009A2223"/>
    <w:rsid w:val="009A2710"/>
    <w:rsid w:val="009A36E2"/>
    <w:rsid w:val="009A390F"/>
    <w:rsid w:val="009A4EA4"/>
    <w:rsid w:val="009A62DA"/>
    <w:rsid w:val="009A7A13"/>
    <w:rsid w:val="009B0400"/>
    <w:rsid w:val="009B1F2D"/>
    <w:rsid w:val="009B2458"/>
    <w:rsid w:val="009B2480"/>
    <w:rsid w:val="009B4469"/>
    <w:rsid w:val="009B513F"/>
    <w:rsid w:val="009B54DB"/>
    <w:rsid w:val="009B5A52"/>
    <w:rsid w:val="009B6CC6"/>
    <w:rsid w:val="009B6D4A"/>
    <w:rsid w:val="009B7AB2"/>
    <w:rsid w:val="009C16E0"/>
    <w:rsid w:val="009C6849"/>
    <w:rsid w:val="009D0105"/>
    <w:rsid w:val="009D102C"/>
    <w:rsid w:val="009D1F7D"/>
    <w:rsid w:val="009D2218"/>
    <w:rsid w:val="009D22F7"/>
    <w:rsid w:val="009D2A91"/>
    <w:rsid w:val="009D2FFA"/>
    <w:rsid w:val="009D49F2"/>
    <w:rsid w:val="009D5280"/>
    <w:rsid w:val="009D62D4"/>
    <w:rsid w:val="009D7239"/>
    <w:rsid w:val="009D72F5"/>
    <w:rsid w:val="009D7FDF"/>
    <w:rsid w:val="009E2325"/>
    <w:rsid w:val="009E2A79"/>
    <w:rsid w:val="009E3D2F"/>
    <w:rsid w:val="009E407D"/>
    <w:rsid w:val="009E5463"/>
    <w:rsid w:val="009F06FF"/>
    <w:rsid w:val="009F1E28"/>
    <w:rsid w:val="009F2456"/>
    <w:rsid w:val="009F2A4A"/>
    <w:rsid w:val="009F2F8D"/>
    <w:rsid w:val="009F38DE"/>
    <w:rsid w:val="009F3F27"/>
    <w:rsid w:val="009F4CCE"/>
    <w:rsid w:val="009F72BE"/>
    <w:rsid w:val="009F764F"/>
    <w:rsid w:val="00A00A5A"/>
    <w:rsid w:val="00A02020"/>
    <w:rsid w:val="00A027E3"/>
    <w:rsid w:val="00A02E4C"/>
    <w:rsid w:val="00A03302"/>
    <w:rsid w:val="00A03837"/>
    <w:rsid w:val="00A038BC"/>
    <w:rsid w:val="00A044A1"/>
    <w:rsid w:val="00A05B10"/>
    <w:rsid w:val="00A05FED"/>
    <w:rsid w:val="00A0693D"/>
    <w:rsid w:val="00A0695B"/>
    <w:rsid w:val="00A069BD"/>
    <w:rsid w:val="00A10104"/>
    <w:rsid w:val="00A10627"/>
    <w:rsid w:val="00A10B19"/>
    <w:rsid w:val="00A1180B"/>
    <w:rsid w:val="00A12B00"/>
    <w:rsid w:val="00A12B75"/>
    <w:rsid w:val="00A12FC8"/>
    <w:rsid w:val="00A14614"/>
    <w:rsid w:val="00A14D9F"/>
    <w:rsid w:val="00A17B3F"/>
    <w:rsid w:val="00A20B93"/>
    <w:rsid w:val="00A22D21"/>
    <w:rsid w:val="00A2496C"/>
    <w:rsid w:val="00A25822"/>
    <w:rsid w:val="00A27B78"/>
    <w:rsid w:val="00A302D6"/>
    <w:rsid w:val="00A3091C"/>
    <w:rsid w:val="00A3252A"/>
    <w:rsid w:val="00A34DDE"/>
    <w:rsid w:val="00A3716A"/>
    <w:rsid w:val="00A421B9"/>
    <w:rsid w:val="00A43594"/>
    <w:rsid w:val="00A44177"/>
    <w:rsid w:val="00A445A9"/>
    <w:rsid w:val="00A44AC0"/>
    <w:rsid w:val="00A46765"/>
    <w:rsid w:val="00A47A97"/>
    <w:rsid w:val="00A51F6C"/>
    <w:rsid w:val="00A522D3"/>
    <w:rsid w:val="00A5279C"/>
    <w:rsid w:val="00A531F8"/>
    <w:rsid w:val="00A53248"/>
    <w:rsid w:val="00A55590"/>
    <w:rsid w:val="00A558C9"/>
    <w:rsid w:val="00A561CC"/>
    <w:rsid w:val="00A56291"/>
    <w:rsid w:val="00A57DC2"/>
    <w:rsid w:val="00A60C6E"/>
    <w:rsid w:val="00A611A2"/>
    <w:rsid w:val="00A6252A"/>
    <w:rsid w:val="00A662A6"/>
    <w:rsid w:val="00A6720D"/>
    <w:rsid w:val="00A67B57"/>
    <w:rsid w:val="00A70F45"/>
    <w:rsid w:val="00A716B8"/>
    <w:rsid w:val="00A75309"/>
    <w:rsid w:val="00A75A6D"/>
    <w:rsid w:val="00A81240"/>
    <w:rsid w:val="00A81385"/>
    <w:rsid w:val="00A81FB9"/>
    <w:rsid w:val="00A839C2"/>
    <w:rsid w:val="00A8419D"/>
    <w:rsid w:val="00A84DD8"/>
    <w:rsid w:val="00A859B1"/>
    <w:rsid w:val="00A860A7"/>
    <w:rsid w:val="00A90285"/>
    <w:rsid w:val="00A903C8"/>
    <w:rsid w:val="00A90B46"/>
    <w:rsid w:val="00A92D42"/>
    <w:rsid w:val="00A93776"/>
    <w:rsid w:val="00A96D57"/>
    <w:rsid w:val="00A96EBA"/>
    <w:rsid w:val="00A97746"/>
    <w:rsid w:val="00A97AFD"/>
    <w:rsid w:val="00AA0103"/>
    <w:rsid w:val="00AA25E6"/>
    <w:rsid w:val="00AA2A3C"/>
    <w:rsid w:val="00AA2AA4"/>
    <w:rsid w:val="00AA40B6"/>
    <w:rsid w:val="00AA6772"/>
    <w:rsid w:val="00AB0D69"/>
    <w:rsid w:val="00AB183D"/>
    <w:rsid w:val="00AB261B"/>
    <w:rsid w:val="00AB5EBD"/>
    <w:rsid w:val="00AB60BB"/>
    <w:rsid w:val="00AB7967"/>
    <w:rsid w:val="00AB79D7"/>
    <w:rsid w:val="00AC0AD8"/>
    <w:rsid w:val="00AC0C45"/>
    <w:rsid w:val="00AC0DA8"/>
    <w:rsid w:val="00AC11B8"/>
    <w:rsid w:val="00AC33B4"/>
    <w:rsid w:val="00AC4986"/>
    <w:rsid w:val="00AC6385"/>
    <w:rsid w:val="00AC73C5"/>
    <w:rsid w:val="00AC791C"/>
    <w:rsid w:val="00AC7CE7"/>
    <w:rsid w:val="00AD1B24"/>
    <w:rsid w:val="00AE00FC"/>
    <w:rsid w:val="00AE0435"/>
    <w:rsid w:val="00AE141C"/>
    <w:rsid w:val="00AE2980"/>
    <w:rsid w:val="00AE2E22"/>
    <w:rsid w:val="00AE31CB"/>
    <w:rsid w:val="00AE5AC7"/>
    <w:rsid w:val="00AE6605"/>
    <w:rsid w:val="00AE6F74"/>
    <w:rsid w:val="00AE765D"/>
    <w:rsid w:val="00AF47D8"/>
    <w:rsid w:val="00AF52E2"/>
    <w:rsid w:val="00AF7D15"/>
    <w:rsid w:val="00B00A08"/>
    <w:rsid w:val="00B01B37"/>
    <w:rsid w:val="00B02585"/>
    <w:rsid w:val="00B035D0"/>
    <w:rsid w:val="00B03D79"/>
    <w:rsid w:val="00B04988"/>
    <w:rsid w:val="00B052B2"/>
    <w:rsid w:val="00B06075"/>
    <w:rsid w:val="00B06AB0"/>
    <w:rsid w:val="00B103AE"/>
    <w:rsid w:val="00B104B9"/>
    <w:rsid w:val="00B1117F"/>
    <w:rsid w:val="00B11FD5"/>
    <w:rsid w:val="00B12926"/>
    <w:rsid w:val="00B13EAD"/>
    <w:rsid w:val="00B14986"/>
    <w:rsid w:val="00B1546E"/>
    <w:rsid w:val="00B15736"/>
    <w:rsid w:val="00B15CC7"/>
    <w:rsid w:val="00B217EF"/>
    <w:rsid w:val="00B21C3F"/>
    <w:rsid w:val="00B2278F"/>
    <w:rsid w:val="00B22842"/>
    <w:rsid w:val="00B23436"/>
    <w:rsid w:val="00B258E7"/>
    <w:rsid w:val="00B25E87"/>
    <w:rsid w:val="00B260C4"/>
    <w:rsid w:val="00B268DA"/>
    <w:rsid w:val="00B26D9E"/>
    <w:rsid w:val="00B27107"/>
    <w:rsid w:val="00B271F0"/>
    <w:rsid w:val="00B3090A"/>
    <w:rsid w:val="00B30D7C"/>
    <w:rsid w:val="00B3172A"/>
    <w:rsid w:val="00B32A89"/>
    <w:rsid w:val="00B33514"/>
    <w:rsid w:val="00B338F6"/>
    <w:rsid w:val="00B340E7"/>
    <w:rsid w:val="00B34E07"/>
    <w:rsid w:val="00B350BD"/>
    <w:rsid w:val="00B36E87"/>
    <w:rsid w:val="00B40294"/>
    <w:rsid w:val="00B40C0B"/>
    <w:rsid w:val="00B41E0B"/>
    <w:rsid w:val="00B436A5"/>
    <w:rsid w:val="00B448A5"/>
    <w:rsid w:val="00B452CD"/>
    <w:rsid w:val="00B46E9B"/>
    <w:rsid w:val="00B51987"/>
    <w:rsid w:val="00B531F9"/>
    <w:rsid w:val="00B53319"/>
    <w:rsid w:val="00B53DF5"/>
    <w:rsid w:val="00B556D9"/>
    <w:rsid w:val="00B5649A"/>
    <w:rsid w:val="00B60121"/>
    <w:rsid w:val="00B60432"/>
    <w:rsid w:val="00B6254B"/>
    <w:rsid w:val="00B62D46"/>
    <w:rsid w:val="00B63466"/>
    <w:rsid w:val="00B644C6"/>
    <w:rsid w:val="00B64F83"/>
    <w:rsid w:val="00B65286"/>
    <w:rsid w:val="00B66271"/>
    <w:rsid w:val="00B66B64"/>
    <w:rsid w:val="00B670D0"/>
    <w:rsid w:val="00B673D6"/>
    <w:rsid w:val="00B70DFB"/>
    <w:rsid w:val="00B77F08"/>
    <w:rsid w:val="00B8391B"/>
    <w:rsid w:val="00B844B5"/>
    <w:rsid w:val="00B85E32"/>
    <w:rsid w:val="00B8727B"/>
    <w:rsid w:val="00B87831"/>
    <w:rsid w:val="00B9040F"/>
    <w:rsid w:val="00B910D0"/>
    <w:rsid w:val="00B91726"/>
    <w:rsid w:val="00B919BD"/>
    <w:rsid w:val="00B91E5A"/>
    <w:rsid w:val="00B927AE"/>
    <w:rsid w:val="00B94FB0"/>
    <w:rsid w:val="00B973FF"/>
    <w:rsid w:val="00B978AB"/>
    <w:rsid w:val="00B9790D"/>
    <w:rsid w:val="00B97FEA"/>
    <w:rsid w:val="00BA069F"/>
    <w:rsid w:val="00BA0D44"/>
    <w:rsid w:val="00BA15AA"/>
    <w:rsid w:val="00BA5F88"/>
    <w:rsid w:val="00BA6A29"/>
    <w:rsid w:val="00BA7078"/>
    <w:rsid w:val="00BB0843"/>
    <w:rsid w:val="00BB2677"/>
    <w:rsid w:val="00BB26A5"/>
    <w:rsid w:val="00BB2EFE"/>
    <w:rsid w:val="00BB303C"/>
    <w:rsid w:val="00BB32C7"/>
    <w:rsid w:val="00BB492E"/>
    <w:rsid w:val="00BB618D"/>
    <w:rsid w:val="00BB74EF"/>
    <w:rsid w:val="00BC17AA"/>
    <w:rsid w:val="00BC197C"/>
    <w:rsid w:val="00BC4AEE"/>
    <w:rsid w:val="00BC59BF"/>
    <w:rsid w:val="00BC5EDC"/>
    <w:rsid w:val="00BC79CE"/>
    <w:rsid w:val="00BD0F8D"/>
    <w:rsid w:val="00BD1008"/>
    <w:rsid w:val="00BD1494"/>
    <w:rsid w:val="00BD3AA6"/>
    <w:rsid w:val="00BD5539"/>
    <w:rsid w:val="00BD68A8"/>
    <w:rsid w:val="00BD6F8C"/>
    <w:rsid w:val="00BD7D69"/>
    <w:rsid w:val="00BE0148"/>
    <w:rsid w:val="00BE02AE"/>
    <w:rsid w:val="00BE1EFF"/>
    <w:rsid w:val="00BE2741"/>
    <w:rsid w:val="00BE4219"/>
    <w:rsid w:val="00BE4723"/>
    <w:rsid w:val="00BE49DC"/>
    <w:rsid w:val="00BE62A3"/>
    <w:rsid w:val="00BE7ABD"/>
    <w:rsid w:val="00BE7DF6"/>
    <w:rsid w:val="00BF0F26"/>
    <w:rsid w:val="00BF19CA"/>
    <w:rsid w:val="00BF1CCF"/>
    <w:rsid w:val="00BF344D"/>
    <w:rsid w:val="00BF35FC"/>
    <w:rsid w:val="00BF7970"/>
    <w:rsid w:val="00BF7CCB"/>
    <w:rsid w:val="00C000A5"/>
    <w:rsid w:val="00C02459"/>
    <w:rsid w:val="00C07AEC"/>
    <w:rsid w:val="00C107A4"/>
    <w:rsid w:val="00C116A5"/>
    <w:rsid w:val="00C12A9D"/>
    <w:rsid w:val="00C12F4D"/>
    <w:rsid w:val="00C1660F"/>
    <w:rsid w:val="00C24F1A"/>
    <w:rsid w:val="00C272E4"/>
    <w:rsid w:val="00C27BFE"/>
    <w:rsid w:val="00C3050B"/>
    <w:rsid w:val="00C30861"/>
    <w:rsid w:val="00C30E70"/>
    <w:rsid w:val="00C318A7"/>
    <w:rsid w:val="00C324ED"/>
    <w:rsid w:val="00C335C5"/>
    <w:rsid w:val="00C33D23"/>
    <w:rsid w:val="00C35405"/>
    <w:rsid w:val="00C35592"/>
    <w:rsid w:val="00C36262"/>
    <w:rsid w:val="00C37CF4"/>
    <w:rsid w:val="00C40D03"/>
    <w:rsid w:val="00C41782"/>
    <w:rsid w:val="00C4200B"/>
    <w:rsid w:val="00C42519"/>
    <w:rsid w:val="00C43E39"/>
    <w:rsid w:val="00C44FD2"/>
    <w:rsid w:val="00C45845"/>
    <w:rsid w:val="00C45A6C"/>
    <w:rsid w:val="00C479A8"/>
    <w:rsid w:val="00C50959"/>
    <w:rsid w:val="00C50DC5"/>
    <w:rsid w:val="00C5150D"/>
    <w:rsid w:val="00C5220F"/>
    <w:rsid w:val="00C54169"/>
    <w:rsid w:val="00C546C0"/>
    <w:rsid w:val="00C55FF0"/>
    <w:rsid w:val="00C56B1B"/>
    <w:rsid w:val="00C57A60"/>
    <w:rsid w:val="00C61F74"/>
    <w:rsid w:val="00C627EF"/>
    <w:rsid w:val="00C62842"/>
    <w:rsid w:val="00C63FD4"/>
    <w:rsid w:val="00C64594"/>
    <w:rsid w:val="00C64C06"/>
    <w:rsid w:val="00C6682D"/>
    <w:rsid w:val="00C713FE"/>
    <w:rsid w:val="00C72597"/>
    <w:rsid w:val="00C7264C"/>
    <w:rsid w:val="00C74101"/>
    <w:rsid w:val="00C771C9"/>
    <w:rsid w:val="00C7777E"/>
    <w:rsid w:val="00C77967"/>
    <w:rsid w:val="00C805E2"/>
    <w:rsid w:val="00C807DE"/>
    <w:rsid w:val="00C80AB3"/>
    <w:rsid w:val="00C83043"/>
    <w:rsid w:val="00C8383C"/>
    <w:rsid w:val="00C84D7E"/>
    <w:rsid w:val="00C851FC"/>
    <w:rsid w:val="00C87470"/>
    <w:rsid w:val="00C94F05"/>
    <w:rsid w:val="00C95555"/>
    <w:rsid w:val="00C956E7"/>
    <w:rsid w:val="00CA0332"/>
    <w:rsid w:val="00CA0922"/>
    <w:rsid w:val="00CA7D1D"/>
    <w:rsid w:val="00CB04B4"/>
    <w:rsid w:val="00CB33F3"/>
    <w:rsid w:val="00CB37C1"/>
    <w:rsid w:val="00CB459B"/>
    <w:rsid w:val="00CB5446"/>
    <w:rsid w:val="00CB5599"/>
    <w:rsid w:val="00CB699B"/>
    <w:rsid w:val="00CB6FF3"/>
    <w:rsid w:val="00CB7590"/>
    <w:rsid w:val="00CB7673"/>
    <w:rsid w:val="00CC09E4"/>
    <w:rsid w:val="00CC23C7"/>
    <w:rsid w:val="00CC5126"/>
    <w:rsid w:val="00CC5E29"/>
    <w:rsid w:val="00CD0C1D"/>
    <w:rsid w:val="00CD249F"/>
    <w:rsid w:val="00CD3D9C"/>
    <w:rsid w:val="00CD4BC9"/>
    <w:rsid w:val="00CD4D56"/>
    <w:rsid w:val="00CD54C7"/>
    <w:rsid w:val="00CD6534"/>
    <w:rsid w:val="00CE0132"/>
    <w:rsid w:val="00CE01DB"/>
    <w:rsid w:val="00CE0B0A"/>
    <w:rsid w:val="00CE2F1A"/>
    <w:rsid w:val="00CE31F1"/>
    <w:rsid w:val="00CE3AEB"/>
    <w:rsid w:val="00CE6932"/>
    <w:rsid w:val="00CF3A53"/>
    <w:rsid w:val="00CF42A0"/>
    <w:rsid w:val="00CF58B8"/>
    <w:rsid w:val="00CF5924"/>
    <w:rsid w:val="00CF69E6"/>
    <w:rsid w:val="00CF739C"/>
    <w:rsid w:val="00CF7FC7"/>
    <w:rsid w:val="00D00263"/>
    <w:rsid w:val="00D0101E"/>
    <w:rsid w:val="00D013CA"/>
    <w:rsid w:val="00D03B57"/>
    <w:rsid w:val="00D07DAE"/>
    <w:rsid w:val="00D11C62"/>
    <w:rsid w:val="00D1408D"/>
    <w:rsid w:val="00D14632"/>
    <w:rsid w:val="00D148FB"/>
    <w:rsid w:val="00D14DBA"/>
    <w:rsid w:val="00D16BCD"/>
    <w:rsid w:val="00D16D22"/>
    <w:rsid w:val="00D17379"/>
    <w:rsid w:val="00D23623"/>
    <w:rsid w:val="00D25481"/>
    <w:rsid w:val="00D2717E"/>
    <w:rsid w:val="00D304A0"/>
    <w:rsid w:val="00D309AF"/>
    <w:rsid w:val="00D31076"/>
    <w:rsid w:val="00D320F8"/>
    <w:rsid w:val="00D33062"/>
    <w:rsid w:val="00D3432F"/>
    <w:rsid w:val="00D345F1"/>
    <w:rsid w:val="00D35D62"/>
    <w:rsid w:val="00D368A7"/>
    <w:rsid w:val="00D4053C"/>
    <w:rsid w:val="00D408A9"/>
    <w:rsid w:val="00D4343F"/>
    <w:rsid w:val="00D45132"/>
    <w:rsid w:val="00D45CF7"/>
    <w:rsid w:val="00D46423"/>
    <w:rsid w:val="00D47578"/>
    <w:rsid w:val="00D47F01"/>
    <w:rsid w:val="00D50E32"/>
    <w:rsid w:val="00D5226A"/>
    <w:rsid w:val="00D54D63"/>
    <w:rsid w:val="00D57A1F"/>
    <w:rsid w:val="00D63F5E"/>
    <w:rsid w:val="00D64AF3"/>
    <w:rsid w:val="00D655BC"/>
    <w:rsid w:val="00D6568A"/>
    <w:rsid w:val="00D6738C"/>
    <w:rsid w:val="00D7095C"/>
    <w:rsid w:val="00D70B51"/>
    <w:rsid w:val="00D71598"/>
    <w:rsid w:val="00D74870"/>
    <w:rsid w:val="00D765B7"/>
    <w:rsid w:val="00D766E0"/>
    <w:rsid w:val="00D76AD8"/>
    <w:rsid w:val="00D77C25"/>
    <w:rsid w:val="00D804B5"/>
    <w:rsid w:val="00D80A94"/>
    <w:rsid w:val="00D81126"/>
    <w:rsid w:val="00D83CFB"/>
    <w:rsid w:val="00D87FDE"/>
    <w:rsid w:val="00D90D9E"/>
    <w:rsid w:val="00D918FF"/>
    <w:rsid w:val="00D91A56"/>
    <w:rsid w:val="00D924CC"/>
    <w:rsid w:val="00D934E6"/>
    <w:rsid w:val="00D953C0"/>
    <w:rsid w:val="00D95425"/>
    <w:rsid w:val="00D954E2"/>
    <w:rsid w:val="00D9623E"/>
    <w:rsid w:val="00D967E0"/>
    <w:rsid w:val="00D97B87"/>
    <w:rsid w:val="00DA024E"/>
    <w:rsid w:val="00DA06BC"/>
    <w:rsid w:val="00DA2A43"/>
    <w:rsid w:val="00DA4BBA"/>
    <w:rsid w:val="00DA713B"/>
    <w:rsid w:val="00DA7717"/>
    <w:rsid w:val="00DA7A70"/>
    <w:rsid w:val="00DB1093"/>
    <w:rsid w:val="00DB15F8"/>
    <w:rsid w:val="00DB192C"/>
    <w:rsid w:val="00DB48D6"/>
    <w:rsid w:val="00DB5C97"/>
    <w:rsid w:val="00DB6CB1"/>
    <w:rsid w:val="00DB6E0D"/>
    <w:rsid w:val="00DB7B8A"/>
    <w:rsid w:val="00DC17CC"/>
    <w:rsid w:val="00DC335A"/>
    <w:rsid w:val="00DC4408"/>
    <w:rsid w:val="00DC4F76"/>
    <w:rsid w:val="00DC6038"/>
    <w:rsid w:val="00DC688D"/>
    <w:rsid w:val="00DD0DEA"/>
    <w:rsid w:val="00DD1516"/>
    <w:rsid w:val="00DD166A"/>
    <w:rsid w:val="00DD1DA6"/>
    <w:rsid w:val="00DD3BBD"/>
    <w:rsid w:val="00DD44B1"/>
    <w:rsid w:val="00DD4BF8"/>
    <w:rsid w:val="00DD4E3B"/>
    <w:rsid w:val="00DD7532"/>
    <w:rsid w:val="00DE07E3"/>
    <w:rsid w:val="00DE0C91"/>
    <w:rsid w:val="00DE0FB8"/>
    <w:rsid w:val="00DE340A"/>
    <w:rsid w:val="00DE541C"/>
    <w:rsid w:val="00DE79DB"/>
    <w:rsid w:val="00DF0228"/>
    <w:rsid w:val="00DF116C"/>
    <w:rsid w:val="00DF11AA"/>
    <w:rsid w:val="00DF3414"/>
    <w:rsid w:val="00DF493A"/>
    <w:rsid w:val="00DF4AD6"/>
    <w:rsid w:val="00DF528C"/>
    <w:rsid w:val="00DF57B8"/>
    <w:rsid w:val="00E028E2"/>
    <w:rsid w:val="00E04EE6"/>
    <w:rsid w:val="00E0544E"/>
    <w:rsid w:val="00E073BE"/>
    <w:rsid w:val="00E10085"/>
    <w:rsid w:val="00E11C6E"/>
    <w:rsid w:val="00E13207"/>
    <w:rsid w:val="00E1388C"/>
    <w:rsid w:val="00E13B0A"/>
    <w:rsid w:val="00E1565E"/>
    <w:rsid w:val="00E15CDD"/>
    <w:rsid w:val="00E15F1D"/>
    <w:rsid w:val="00E15FAD"/>
    <w:rsid w:val="00E207B7"/>
    <w:rsid w:val="00E20873"/>
    <w:rsid w:val="00E21686"/>
    <w:rsid w:val="00E217BF"/>
    <w:rsid w:val="00E21FE7"/>
    <w:rsid w:val="00E22CC0"/>
    <w:rsid w:val="00E23CC6"/>
    <w:rsid w:val="00E275AF"/>
    <w:rsid w:val="00E30235"/>
    <w:rsid w:val="00E31686"/>
    <w:rsid w:val="00E31E5C"/>
    <w:rsid w:val="00E3328E"/>
    <w:rsid w:val="00E33867"/>
    <w:rsid w:val="00E338AD"/>
    <w:rsid w:val="00E36DEE"/>
    <w:rsid w:val="00E37CB4"/>
    <w:rsid w:val="00E37CD9"/>
    <w:rsid w:val="00E40516"/>
    <w:rsid w:val="00E4238F"/>
    <w:rsid w:val="00E4339A"/>
    <w:rsid w:val="00E44C97"/>
    <w:rsid w:val="00E458D4"/>
    <w:rsid w:val="00E502D6"/>
    <w:rsid w:val="00E51916"/>
    <w:rsid w:val="00E535B2"/>
    <w:rsid w:val="00E53977"/>
    <w:rsid w:val="00E544FE"/>
    <w:rsid w:val="00E54605"/>
    <w:rsid w:val="00E556CA"/>
    <w:rsid w:val="00E566D6"/>
    <w:rsid w:val="00E575F7"/>
    <w:rsid w:val="00E578F9"/>
    <w:rsid w:val="00E57DEA"/>
    <w:rsid w:val="00E625AB"/>
    <w:rsid w:val="00E62CDD"/>
    <w:rsid w:val="00E64A6C"/>
    <w:rsid w:val="00E65E85"/>
    <w:rsid w:val="00E6716B"/>
    <w:rsid w:val="00E70989"/>
    <w:rsid w:val="00E710D6"/>
    <w:rsid w:val="00E7177F"/>
    <w:rsid w:val="00E73A25"/>
    <w:rsid w:val="00E7583C"/>
    <w:rsid w:val="00E75E6B"/>
    <w:rsid w:val="00E77304"/>
    <w:rsid w:val="00E7751D"/>
    <w:rsid w:val="00E77732"/>
    <w:rsid w:val="00E80317"/>
    <w:rsid w:val="00E80670"/>
    <w:rsid w:val="00E80C47"/>
    <w:rsid w:val="00E82372"/>
    <w:rsid w:val="00E8396D"/>
    <w:rsid w:val="00E83FE6"/>
    <w:rsid w:val="00E84A74"/>
    <w:rsid w:val="00E84AD4"/>
    <w:rsid w:val="00E85202"/>
    <w:rsid w:val="00E86F69"/>
    <w:rsid w:val="00E95AD6"/>
    <w:rsid w:val="00EA006A"/>
    <w:rsid w:val="00EA153B"/>
    <w:rsid w:val="00EA15E4"/>
    <w:rsid w:val="00EA5AF1"/>
    <w:rsid w:val="00EA7056"/>
    <w:rsid w:val="00EA79CC"/>
    <w:rsid w:val="00EB0395"/>
    <w:rsid w:val="00EB305E"/>
    <w:rsid w:val="00EB325E"/>
    <w:rsid w:val="00EB6797"/>
    <w:rsid w:val="00EC04A5"/>
    <w:rsid w:val="00EC09AE"/>
    <w:rsid w:val="00EC2C32"/>
    <w:rsid w:val="00EC44A9"/>
    <w:rsid w:val="00EC47F6"/>
    <w:rsid w:val="00EC50B6"/>
    <w:rsid w:val="00EC57A9"/>
    <w:rsid w:val="00EC6437"/>
    <w:rsid w:val="00EC682C"/>
    <w:rsid w:val="00EC732A"/>
    <w:rsid w:val="00ED052F"/>
    <w:rsid w:val="00ED1076"/>
    <w:rsid w:val="00ED1245"/>
    <w:rsid w:val="00ED18C9"/>
    <w:rsid w:val="00ED1CB9"/>
    <w:rsid w:val="00ED235A"/>
    <w:rsid w:val="00ED4A11"/>
    <w:rsid w:val="00ED6191"/>
    <w:rsid w:val="00EE03D6"/>
    <w:rsid w:val="00EE1035"/>
    <w:rsid w:val="00EE2239"/>
    <w:rsid w:val="00EE3218"/>
    <w:rsid w:val="00EE4A7A"/>
    <w:rsid w:val="00EE4F49"/>
    <w:rsid w:val="00EE7077"/>
    <w:rsid w:val="00EE7E50"/>
    <w:rsid w:val="00EF03AE"/>
    <w:rsid w:val="00EF0DB5"/>
    <w:rsid w:val="00EF1874"/>
    <w:rsid w:val="00EF4B90"/>
    <w:rsid w:val="00EF5517"/>
    <w:rsid w:val="00EF573F"/>
    <w:rsid w:val="00EF61B1"/>
    <w:rsid w:val="00EF7B19"/>
    <w:rsid w:val="00F0041B"/>
    <w:rsid w:val="00F008A2"/>
    <w:rsid w:val="00F01E19"/>
    <w:rsid w:val="00F0247B"/>
    <w:rsid w:val="00F03998"/>
    <w:rsid w:val="00F03B92"/>
    <w:rsid w:val="00F05958"/>
    <w:rsid w:val="00F05C0B"/>
    <w:rsid w:val="00F06D1D"/>
    <w:rsid w:val="00F07243"/>
    <w:rsid w:val="00F116E9"/>
    <w:rsid w:val="00F12E32"/>
    <w:rsid w:val="00F1426D"/>
    <w:rsid w:val="00F150EC"/>
    <w:rsid w:val="00F17CED"/>
    <w:rsid w:val="00F30AEC"/>
    <w:rsid w:val="00F319EF"/>
    <w:rsid w:val="00F33D58"/>
    <w:rsid w:val="00F36377"/>
    <w:rsid w:val="00F409C2"/>
    <w:rsid w:val="00F41943"/>
    <w:rsid w:val="00F43760"/>
    <w:rsid w:val="00F4396D"/>
    <w:rsid w:val="00F4469E"/>
    <w:rsid w:val="00F45578"/>
    <w:rsid w:val="00F50BC6"/>
    <w:rsid w:val="00F51552"/>
    <w:rsid w:val="00F52735"/>
    <w:rsid w:val="00F539AC"/>
    <w:rsid w:val="00F53B10"/>
    <w:rsid w:val="00F56B2E"/>
    <w:rsid w:val="00F570AD"/>
    <w:rsid w:val="00F62B03"/>
    <w:rsid w:val="00F634CA"/>
    <w:rsid w:val="00F636CF"/>
    <w:rsid w:val="00F647D9"/>
    <w:rsid w:val="00F66B7E"/>
    <w:rsid w:val="00F67161"/>
    <w:rsid w:val="00F671CF"/>
    <w:rsid w:val="00F70832"/>
    <w:rsid w:val="00F70D7D"/>
    <w:rsid w:val="00F71102"/>
    <w:rsid w:val="00F711EF"/>
    <w:rsid w:val="00F72427"/>
    <w:rsid w:val="00F7377B"/>
    <w:rsid w:val="00F737AD"/>
    <w:rsid w:val="00F752CF"/>
    <w:rsid w:val="00F77519"/>
    <w:rsid w:val="00F80F87"/>
    <w:rsid w:val="00F82B63"/>
    <w:rsid w:val="00F82C16"/>
    <w:rsid w:val="00F83011"/>
    <w:rsid w:val="00F83209"/>
    <w:rsid w:val="00F86A02"/>
    <w:rsid w:val="00F86E95"/>
    <w:rsid w:val="00F906E5"/>
    <w:rsid w:val="00F91157"/>
    <w:rsid w:val="00F91B3E"/>
    <w:rsid w:val="00F92481"/>
    <w:rsid w:val="00F92CB0"/>
    <w:rsid w:val="00F94224"/>
    <w:rsid w:val="00F94A1E"/>
    <w:rsid w:val="00F94ACD"/>
    <w:rsid w:val="00F96A75"/>
    <w:rsid w:val="00F972BC"/>
    <w:rsid w:val="00F9766D"/>
    <w:rsid w:val="00F977D6"/>
    <w:rsid w:val="00F97E92"/>
    <w:rsid w:val="00FA01DF"/>
    <w:rsid w:val="00FA1388"/>
    <w:rsid w:val="00FA1ECA"/>
    <w:rsid w:val="00FA46BC"/>
    <w:rsid w:val="00FA6B3F"/>
    <w:rsid w:val="00FA6CA6"/>
    <w:rsid w:val="00FB4EF5"/>
    <w:rsid w:val="00FB5967"/>
    <w:rsid w:val="00FB5D1E"/>
    <w:rsid w:val="00FB60A3"/>
    <w:rsid w:val="00FC1C38"/>
    <w:rsid w:val="00FC2FAA"/>
    <w:rsid w:val="00FC3E87"/>
    <w:rsid w:val="00FC4F54"/>
    <w:rsid w:val="00FC5B7F"/>
    <w:rsid w:val="00FC756B"/>
    <w:rsid w:val="00FD15D0"/>
    <w:rsid w:val="00FD30EA"/>
    <w:rsid w:val="00FD4078"/>
    <w:rsid w:val="00FD4CA3"/>
    <w:rsid w:val="00FD4EE0"/>
    <w:rsid w:val="00FD4FCE"/>
    <w:rsid w:val="00FD642B"/>
    <w:rsid w:val="00FD6C65"/>
    <w:rsid w:val="00FD7245"/>
    <w:rsid w:val="00FE0EC8"/>
    <w:rsid w:val="00FE139E"/>
    <w:rsid w:val="00FE1EAC"/>
    <w:rsid w:val="00FE26A0"/>
    <w:rsid w:val="00FE727D"/>
    <w:rsid w:val="00FE732C"/>
    <w:rsid w:val="00FF0EFF"/>
    <w:rsid w:val="00FF33A9"/>
    <w:rsid w:val="00FF4889"/>
    <w:rsid w:val="00FF60BF"/>
    <w:rsid w:val="00FF619A"/>
    <w:rsid w:val="01D10E6A"/>
    <w:rsid w:val="01EA9F9D"/>
    <w:rsid w:val="01F245C8"/>
    <w:rsid w:val="01F390B6"/>
    <w:rsid w:val="022CCCE1"/>
    <w:rsid w:val="0260E41B"/>
    <w:rsid w:val="02A4DB5E"/>
    <w:rsid w:val="0368B643"/>
    <w:rsid w:val="03A6A184"/>
    <w:rsid w:val="0465854E"/>
    <w:rsid w:val="048B931C"/>
    <w:rsid w:val="04B0B7D6"/>
    <w:rsid w:val="051FDD9A"/>
    <w:rsid w:val="05F9D40D"/>
    <w:rsid w:val="05FDDA12"/>
    <w:rsid w:val="0614D218"/>
    <w:rsid w:val="072F3518"/>
    <w:rsid w:val="075CDC43"/>
    <w:rsid w:val="079AF6F5"/>
    <w:rsid w:val="08196F20"/>
    <w:rsid w:val="0849CDA8"/>
    <w:rsid w:val="08A91064"/>
    <w:rsid w:val="08EFAABB"/>
    <w:rsid w:val="09863827"/>
    <w:rsid w:val="0990FA61"/>
    <w:rsid w:val="09F59BBB"/>
    <w:rsid w:val="0AC17439"/>
    <w:rsid w:val="0B15E1F5"/>
    <w:rsid w:val="0B63E00B"/>
    <w:rsid w:val="0BBDC742"/>
    <w:rsid w:val="0C37C345"/>
    <w:rsid w:val="0C840B1A"/>
    <w:rsid w:val="0DEB944B"/>
    <w:rsid w:val="0E9636AF"/>
    <w:rsid w:val="0FB57553"/>
    <w:rsid w:val="0FF6C459"/>
    <w:rsid w:val="123BBD51"/>
    <w:rsid w:val="12CB5C5D"/>
    <w:rsid w:val="12D63268"/>
    <w:rsid w:val="13344EF1"/>
    <w:rsid w:val="13CA3759"/>
    <w:rsid w:val="149C6AC7"/>
    <w:rsid w:val="155D6677"/>
    <w:rsid w:val="15C73AC1"/>
    <w:rsid w:val="1679C200"/>
    <w:rsid w:val="169318B8"/>
    <w:rsid w:val="169D0534"/>
    <w:rsid w:val="1A6F9F65"/>
    <w:rsid w:val="1ADF85ED"/>
    <w:rsid w:val="1BE3A679"/>
    <w:rsid w:val="1C459CCD"/>
    <w:rsid w:val="1C70BA78"/>
    <w:rsid w:val="1E2760C1"/>
    <w:rsid w:val="1E3E422A"/>
    <w:rsid w:val="1E738096"/>
    <w:rsid w:val="1F83B71B"/>
    <w:rsid w:val="1FAF7E25"/>
    <w:rsid w:val="1FB1BD7D"/>
    <w:rsid w:val="1FFFFA27"/>
    <w:rsid w:val="204424B9"/>
    <w:rsid w:val="209469CE"/>
    <w:rsid w:val="20EC7288"/>
    <w:rsid w:val="22223078"/>
    <w:rsid w:val="2280759E"/>
    <w:rsid w:val="232696EA"/>
    <w:rsid w:val="234F234C"/>
    <w:rsid w:val="240099C6"/>
    <w:rsid w:val="24657F75"/>
    <w:rsid w:val="24868A27"/>
    <w:rsid w:val="24902317"/>
    <w:rsid w:val="24C34053"/>
    <w:rsid w:val="24ED2FB2"/>
    <w:rsid w:val="257D8B28"/>
    <w:rsid w:val="261796EB"/>
    <w:rsid w:val="266495E6"/>
    <w:rsid w:val="2683ABA4"/>
    <w:rsid w:val="26E18D52"/>
    <w:rsid w:val="27AF7ABD"/>
    <w:rsid w:val="27E277F5"/>
    <w:rsid w:val="280FD68E"/>
    <w:rsid w:val="283398DF"/>
    <w:rsid w:val="28552FD3"/>
    <w:rsid w:val="29B4FCBA"/>
    <w:rsid w:val="2A297105"/>
    <w:rsid w:val="2A834653"/>
    <w:rsid w:val="2AB4B1EC"/>
    <w:rsid w:val="2AD23A27"/>
    <w:rsid w:val="2AD8743D"/>
    <w:rsid w:val="2AEA1A41"/>
    <w:rsid w:val="2C9B69AA"/>
    <w:rsid w:val="2DAC5886"/>
    <w:rsid w:val="2E951A79"/>
    <w:rsid w:val="2F50DFC1"/>
    <w:rsid w:val="2FB161FF"/>
    <w:rsid w:val="2FBE6108"/>
    <w:rsid w:val="2FD0C355"/>
    <w:rsid w:val="301CFBC6"/>
    <w:rsid w:val="3185B7BA"/>
    <w:rsid w:val="32731575"/>
    <w:rsid w:val="32A61802"/>
    <w:rsid w:val="32BADABB"/>
    <w:rsid w:val="331CC0D6"/>
    <w:rsid w:val="3321955C"/>
    <w:rsid w:val="335AB818"/>
    <w:rsid w:val="336B8564"/>
    <w:rsid w:val="33C53393"/>
    <w:rsid w:val="343A5C26"/>
    <w:rsid w:val="34D639B6"/>
    <w:rsid w:val="36939898"/>
    <w:rsid w:val="36A39B8B"/>
    <w:rsid w:val="37D7D028"/>
    <w:rsid w:val="39DBEF82"/>
    <w:rsid w:val="3A434B69"/>
    <w:rsid w:val="3AC861A7"/>
    <w:rsid w:val="3B182112"/>
    <w:rsid w:val="3B50A96A"/>
    <w:rsid w:val="3B788207"/>
    <w:rsid w:val="3CC139E5"/>
    <w:rsid w:val="3DE30995"/>
    <w:rsid w:val="3E4D7DAC"/>
    <w:rsid w:val="3E82D1FF"/>
    <w:rsid w:val="3ED615E4"/>
    <w:rsid w:val="3F7D06C1"/>
    <w:rsid w:val="3F934646"/>
    <w:rsid w:val="408E68CD"/>
    <w:rsid w:val="40AE61C7"/>
    <w:rsid w:val="40C87CE4"/>
    <w:rsid w:val="40EEA1DC"/>
    <w:rsid w:val="417C7C13"/>
    <w:rsid w:val="42665531"/>
    <w:rsid w:val="4300E0C9"/>
    <w:rsid w:val="44E1D553"/>
    <w:rsid w:val="44EFFAA2"/>
    <w:rsid w:val="44F3EE1B"/>
    <w:rsid w:val="45123EAD"/>
    <w:rsid w:val="457AE0D3"/>
    <w:rsid w:val="45AF1BA6"/>
    <w:rsid w:val="461DC8F4"/>
    <w:rsid w:val="46D41B1B"/>
    <w:rsid w:val="476D9C9F"/>
    <w:rsid w:val="483C56AA"/>
    <w:rsid w:val="48786DBA"/>
    <w:rsid w:val="48F2269B"/>
    <w:rsid w:val="49A935F4"/>
    <w:rsid w:val="49C33174"/>
    <w:rsid w:val="4B061EBD"/>
    <w:rsid w:val="4B1018BF"/>
    <w:rsid w:val="4B4FFBB6"/>
    <w:rsid w:val="4E30D999"/>
    <w:rsid w:val="4E445C87"/>
    <w:rsid w:val="4F08227C"/>
    <w:rsid w:val="4F3FE4C9"/>
    <w:rsid w:val="4F4C2DC5"/>
    <w:rsid w:val="4FDA7E1F"/>
    <w:rsid w:val="5000B38C"/>
    <w:rsid w:val="5034666E"/>
    <w:rsid w:val="50BF413D"/>
    <w:rsid w:val="52004B14"/>
    <w:rsid w:val="520574D8"/>
    <w:rsid w:val="520EED25"/>
    <w:rsid w:val="521880B1"/>
    <w:rsid w:val="523021EF"/>
    <w:rsid w:val="523501DA"/>
    <w:rsid w:val="5360E58F"/>
    <w:rsid w:val="544EA9C9"/>
    <w:rsid w:val="5560FFDD"/>
    <w:rsid w:val="558D2629"/>
    <w:rsid w:val="55ED29BC"/>
    <w:rsid w:val="56394966"/>
    <w:rsid w:val="56E0D9C5"/>
    <w:rsid w:val="575345A5"/>
    <w:rsid w:val="579EAC77"/>
    <w:rsid w:val="57C62D0A"/>
    <w:rsid w:val="57DD9DC7"/>
    <w:rsid w:val="5847E7CA"/>
    <w:rsid w:val="5849AEF3"/>
    <w:rsid w:val="588B749B"/>
    <w:rsid w:val="58B0FA09"/>
    <w:rsid w:val="58C9B620"/>
    <w:rsid w:val="5A312425"/>
    <w:rsid w:val="5A3B24DF"/>
    <w:rsid w:val="5A45115B"/>
    <w:rsid w:val="5B8176F4"/>
    <w:rsid w:val="5C0E1C6C"/>
    <w:rsid w:val="5D0BB973"/>
    <w:rsid w:val="5D47A8D1"/>
    <w:rsid w:val="5DD0D7A3"/>
    <w:rsid w:val="5DE5FA3A"/>
    <w:rsid w:val="5E2291D6"/>
    <w:rsid w:val="5FFDA484"/>
    <w:rsid w:val="605C9D46"/>
    <w:rsid w:val="609CD7C4"/>
    <w:rsid w:val="613FC971"/>
    <w:rsid w:val="623236BC"/>
    <w:rsid w:val="62D03947"/>
    <w:rsid w:val="62FA9907"/>
    <w:rsid w:val="635555E9"/>
    <w:rsid w:val="6418D559"/>
    <w:rsid w:val="653AABCA"/>
    <w:rsid w:val="66082C0A"/>
    <w:rsid w:val="666F351C"/>
    <w:rsid w:val="66A1DF9F"/>
    <w:rsid w:val="6802066D"/>
    <w:rsid w:val="683B19C2"/>
    <w:rsid w:val="6980EED9"/>
    <w:rsid w:val="6B4FF5DD"/>
    <w:rsid w:val="6BAB15E8"/>
    <w:rsid w:val="6BBB6BC6"/>
    <w:rsid w:val="6D4774E6"/>
    <w:rsid w:val="6DEAFB0A"/>
    <w:rsid w:val="6F66BB54"/>
    <w:rsid w:val="70CE3D97"/>
    <w:rsid w:val="7107E335"/>
    <w:rsid w:val="71299BEE"/>
    <w:rsid w:val="71C05A67"/>
    <w:rsid w:val="72B8DD34"/>
    <w:rsid w:val="72EB9720"/>
    <w:rsid w:val="72F290B4"/>
    <w:rsid w:val="74B8A242"/>
    <w:rsid w:val="75BBCD70"/>
    <w:rsid w:val="76C811A4"/>
    <w:rsid w:val="78545CC2"/>
    <w:rsid w:val="785A96D8"/>
    <w:rsid w:val="79272E98"/>
    <w:rsid w:val="799A2691"/>
    <w:rsid w:val="7A641CF8"/>
    <w:rsid w:val="7AB00522"/>
    <w:rsid w:val="7AD1E453"/>
    <w:rsid w:val="7ADF4D26"/>
    <w:rsid w:val="7BBD9A91"/>
    <w:rsid w:val="7BD790F3"/>
    <w:rsid w:val="7C6DC0DE"/>
    <w:rsid w:val="7CBCF50A"/>
    <w:rsid w:val="7D0CEF46"/>
    <w:rsid w:val="7E22581B"/>
    <w:rsid w:val="7E341B59"/>
    <w:rsid w:val="7ECEA4F9"/>
    <w:rsid w:val="7F360998"/>
    <w:rsid w:val="7F9E19E4"/>
    <w:rsid w:val="7FF61383"/>
    <w:rsid w:val="7FF9C5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F9B20"/>
  <w15:chartTrackingRefBased/>
  <w15:docId w15:val="{AE1A7ABA-1EC6-4CB0-B1EC-D9A40C0C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1F497D"/>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99A"/>
    <w:pPr>
      <w:spacing w:after="0" w:line="240" w:lineRule="auto"/>
    </w:pPr>
    <w:rPr>
      <w:rFonts w:eastAsia="Calibri" w:cs="Times New Roman"/>
      <w:color w:val="auto"/>
      <w:sz w:val="20"/>
      <w:szCs w:val="22"/>
    </w:rPr>
  </w:style>
  <w:style w:type="paragraph" w:styleId="Heading4">
    <w:name w:val="heading 4"/>
    <w:basedOn w:val="Normal"/>
    <w:next w:val="Normal"/>
    <w:link w:val="Heading4Char"/>
    <w:uiPriority w:val="9"/>
    <w:unhideWhenUsed/>
    <w:qFormat/>
    <w:rsid w:val="0066033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List Paragraph1,No Spacing1,List Paragraph Char Char Char,Indicator Text,Numbered Para 1,Colorful List - Accent 11,Bullet 1,Bullet Points,Párrafo de lista"/>
    <w:basedOn w:val="Normal"/>
    <w:link w:val="ListParagraphChar"/>
    <w:uiPriority w:val="34"/>
    <w:qFormat/>
    <w:rsid w:val="00CB6FF3"/>
    <w:pPr>
      <w:ind w:left="720"/>
      <w:contextualSpacing/>
    </w:pPr>
    <w:rPr>
      <w:rFonts w:eastAsia="Times New Roman"/>
      <w:szCs w:val="24"/>
    </w:rPr>
  </w:style>
  <w:style w:type="character" w:customStyle="1" w:styleId="ListParagraphChar">
    <w:name w:val="List Paragraph Char"/>
    <w:aliases w:val="List Paragraph (numbered (a)) Char,References Char,WB List Paragraph Char,Dot pt Char,F5 List Paragraph Char,List Paragraph1 Char,No Spacing1 Char,List Paragraph Char Char Char Char,Indicator Text Char,Numbered Para 1 Char"/>
    <w:link w:val="ListParagraph"/>
    <w:uiPriority w:val="34"/>
    <w:qFormat/>
    <w:rsid w:val="00CB6FF3"/>
    <w:rPr>
      <w:rFonts w:ascii="Calibri" w:eastAsia="Times New Roman" w:hAnsi="Calibri" w:cs="Times New Roman"/>
      <w:color w:val="auto"/>
      <w:sz w:val="22"/>
    </w:rPr>
  </w:style>
  <w:style w:type="character" w:styleId="CommentReference">
    <w:name w:val="annotation reference"/>
    <w:uiPriority w:val="99"/>
    <w:semiHidden/>
    <w:unhideWhenUsed/>
    <w:rsid w:val="00CB6FF3"/>
    <w:rPr>
      <w:sz w:val="16"/>
      <w:szCs w:val="16"/>
    </w:rPr>
  </w:style>
  <w:style w:type="paragraph" w:styleId="CommentText">
    <w:name w:val="annotation text"/>
    <w:basedOn w:val="Normal"/>
    <w:link w:val="CommentTextChar"/>
    <w:uiPriority w:val="99"/>
    <w:unhideWhenUsed/>
    <w:rsid w:val="00CB6FF3"/>
    <w:rPr>
      <w:szCs w:val="20"/>
    </w:rPr>
  </w:style>
  <w:style w:type="character" w:customStyle="1" w:styleId="CommentTextChar">
    <w:name w:val="Comment Text Char"/>
    <w:basedOn w:val="DefaultParagraphFont"/>
    <w:link w:val="CommentText"/>
    <w:uiPriority w:val="99"/>
    <w:rsid w:val="00CB6FF3"/>
    <w:rPr>
      <w:rFonts w:ascii="Calibri" w:eastAsia="Calibri" w:hAnsi="Calibri" w:cs="Times New Roman"/>
      <w:color w:val="auto"/>
      <w:sz w:val="20"/>
      <w:szCs w:val="20"/>
    </w:rPr>
  </w:style>
  <w:style w:type="paragraph" w:styleId="BalloonText">
    <w:name w:val="Balloon Text"/>
    <w:basedOn w:val="Normal"/>
    <w:link w:val="BalloonTextChar"/>
    <w:uiPriority w:val="99"/>
    <w:semiHidden/>
    <w:unhideWhenUsed/>
    <w:rsid w:val="00CB6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FF3"/>
    <w:rPr>
      <w:rFonts w:ascii="Segoe UI" w:eastAsia="Calibri" w:hAnsi="Segoe UI" w:cs="Segoe UI"/>
      <w:color w:val="auto"/>
      <w:sz w:val="18"/>
      <w:szCs w:val="18"/>
    </w:rPr>
  </w:style>
  <w:style w:type="paragraph" w:styleId="Header">
    <w:name w:val="header"/>
    <w:basedOn w:val="Normal"/>
    <w:link w:val="HeaderChar"/>
    <w:uiPriority w:val="99"/>
    <w:unhideWhenUsed/>
    <w:rsid w:val="002C74D1"/>
    <w:pPr>
      <w:tabs>
        <w:tab w:val="center" w:pos="4680"/>
        <w:tab w:val="right" w:pos="9360"/>
      </w:tabs>
    </w:pPr>
  </w:style>
  <w:style w:type="character" w:customStyle="1" w:styleId="HeaderChar">
    <w:name w:val="Header Char"/>
    <w:basedOn w:val="DefaultParagraphFont"/>
    <w:link w:val="Header"/>
    <w:uiPriority w:val="99"/>
    <w:rsid w:val="002C74D1"/>
    <w:rPr>
      <w:rFonts w:ascii="Calibri" w:eastAsia="Calibri" w:hAnsi="Calibri" w:cs="Times New Roman"/>
      <w:color w:val="auto"/>
      <w:sz w:val="22"/>
      <w:szCs w:val="22"/>
    </w:rPr>
  </w:style>
  <w:style w:type="paragraph" w:styleId="Footer">
    <w:name w:val="footer"/>
    <w:basedOn w:val="Normal"/>
    <w:link w:val="FooterChar"/>
    <w:uiPriority w:val="99"/>
    <w:unhideWhenUsed/>
    <w:rsid w:val="002C74D1"/>
    <w:pPr>
      <w:tabs>
        <w:tab w:val="center" w:pos="4680"/>
        <w:tab w:val="right" w:pos="9360"/>
      </w:tabs>
    </w:pPr>
  </w:style>
  <w:style w:type="character" w:customStyle="1" w:styleId="FooterChar">
    <w:name w:val="Footer Char"/>
    <w:basedOn w:val="DefaultParagraphFont"/>
    <w:link w:val="Footer"/>
    <w:uiPriority w:val="99"/>
    <w:rsid w:val="002C74D1"/>
    <w:rPr>
      <w:rFonts w:ascii="Calibri" w:eastAsia="Calibri" w:hAnsi="Calibri" w:cs="Times New Roman"/>
      <w:color w:val="auto"/>
      <w:sz w:val="22"/>
      <w:szCs w:val="22"/>
    </w:rPr>
  </w:style>
  <w:style w:type="table" w:styleId="TableGrid">
    <w:name w:val="Table Grid"/>
    <w:basedOn w:val="TableNormal"/>
    <w:uiPriority w:val="59"/>
    <w:rsid w:val="00846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452CD"/>
    <w:rPr>
      <w:b/>
      <w:bCs/>
    </w:rPr>
  </w:style>
  <w:style w:type="character" w:customStyle="1" w:styleId="CommentSubjectChar">
    <w:name w:val="Comment Subject Char"/>
    <w:basedOn w:val="CommentTextChar"/>
    <w:link w:val="CommentSubject"/>
    <w:uiPriority w:val="99"/>
    <w:semiHidden/>
    <w:rsid w:val="00B452CD"/>
    <w:rPr>
      <w:rFonts w:ascii="Calibri" w:eastAsia="Calibri" w:hAnsi="Calibri" w:cs="Times New Roman"/>
      <w:b/>
      <w:bCs/>
      <w:color w:val="auto"/>
      <w:sz w:val="20"/>
      <w:szCs w:val="20"/>
    </w:rPr>
  </w:style>
  <w:style w:type="character" w:styleId="FootnoteReference">
    <w:name w:val="footnote reference"/>
    <w:aliases w:val="4_G,Footnotes refss,Appel note de bas de p.,Footnote text,callout,ftref,16 Point,Superscript 6 Point,4_G Char Char,Footnote Reference1 Char Char,Footnotes refss Char Char,ftref Char Char,BVI fnr Char Char,BVI fnr Car Car Char Char,Ref"/>
    <w:link w:val="4GChar"/>
    <w:uiPriority w:val="99"/>
    <w:qFormat/>
    <w:rsid w:val="005C2311"/>
    <w:rPr>
      <w:vertAlign w:val="superscript"/>
    </w:rPr>
  </w:style>
  <w:style w:type="paragraph" w:styleId="FootnoteText">
    <w:name w:val="footnote text"/>
    <w:aliases w:val="5_G,Car Car,Car,single space,Текст сноски Знак,Footnote Text Char Char Char,FOOTNOTES,fn,ft,Footnote Text Char Char Char Char Char Char Char Char Char Char,Footnote Text Char Char Char Char Char Char Char Char Char Char Char Cha,ft2,f Char"/>
    <w:basedOn w:val="Normal"/>
    <w:link w:val="FootnoteTextChar"/>
    <w:uiPriority w:val="99"/>
    <w:qFormat/>
    <w:rsid w:val="005C2311"/>
    <w:rPr>
      <w:rFonts w:ascii="Courier" w:eastAsia="MS Mincho" w:hAnsi="Courier"/>
      <w:szCs w:val="20"/>
    </w:rPr>
  </w:style>
  <w:style w:type="character" w:customStyle="1" w:styleId="FootnoteTextChar">
    <w:name w:val="Footnote Text Char"/>
    <w:aliases w:val="5_G Char,Car Car Char,Car Char,single space Char,Текст сноски Знак Char,Footnote Text Char Char Char Char,FOOTNOTES Char,fn Char,ft Char,Footnote Text Char Char Char Char Char Char Char Char Char Char Char,ft2 Char,f Char Char"/>
    <w:basedOn w:val="DefaultParagraphFont"/>
    <w:link w:val="FootnoteText"/>
    <w:uiPriority w:val="99"/>
    <w:rsid w:val="005C2311"/>
    <w:rPr>
      <w:rFonts w:ascii="Courier" w:eastAsia="MS Mincho" w:hAnsi="Courier" w:cs="Times New Roman"/>
      <w:color w:val="auto"/>
      <w:sz w:val="20"/>
      <w:szCs w:val="20"/>
    </w:rPr>
  </w:style>
  <w:style w:type="character" w:customStyle="1" w:styleId="Heading4Char">
    <w:name w:val="Heading 4 Char"/>
    <w:basedOn w:val="DefaultParagraphFont"/>
    <w:link w:val="Heading4"/>
    <w:uiPriority w:val="9"/>
    <w:rsid w:val="0066033C"/>
    <w:rPr>
      <w:rFonts w:asciiTheme="majorHAnsi" w:eastAsiaTheme="majorEastAsia" w:hAnsiTheme="majorHAnsi" w:cstheme="majorBidi"/>
      <w:i/>
      <w:iCs/>
      <w:color w:val="2F5496" w:themeColor="accent1" w:themeShade="BF"/>
      <w:sz w:val="22"/>
      <w:szCs w:val="22"/>
    </w:rPr>
  </w:style>
  <w:style w:type="character" w:customStyle="1" w:styleId="Corpsdutexte">
    <w:name w:val="Corps du texte_"/>
    <w:link w:val="Corpsdutexte1"/>
    <w:uiPriority w:val="99"/>
    <w:locked/>
    <w:rsid w:val="006C52CD"/>
    <w:rPr>
      <w:sz w:val="23"/>
      <w:szCs w:val="23"/>
      <w:shd w:val="clear" w:color="auto" w:fill="FFFFFF"/>
    </w:rPr>
  </w:style>
  <w:style w:type="paragraph" w:customStyle="1" w:styleId="Corpsdutexte1">
    <w:name w:val="Corps du texte1"/>
    <w:basedOn w:val="Normal"/>
    <w:link w:val="Corpsdutexte"/>
    <w:uiPriority w:val="99"/>
    <w:rsid w:val="006C52CD"/>
    <w:pPr>
      <w:widowControl w:val="0"/>
      <w:shd w:val="clear" w:color="auto" w:fill="FFFFFF"/>
      <w:spacing w:before="180" w:after="300" w:line="240" w:lineRule="atLeast"/>
      <w:ind w:hanging="360"/>
      <w:jc w:val="center"/>
    </w:pPr>
    <w:rPr>
      <w:rFonts w:eastAsiaTheme="minorHAnsi" w:cstheme="minorBidi"/>
      <w:color w:val="1F497D"/>
      <w:sz w:val="23"/>
      <w:szCs w:val="23"/>
    </w:rPr>
  </w:style>
  <w:style w:type="character" w:customStyle="1" w:styleId="En-tte5">
    <w:name w:val="En-tête #5_"/>
    <w:link w:val="En-tte50"/>
    <w:uiPriority w:val="99"/>
    <w:locked/>
    <w:rsid w:val="006C52CD"/>
    <w:rPr>
      <w:b/>
      <w:bCs/>
      <w:sz w:val="22"/>
      <w:szCs w:val="22"/>
      <w:shd w:val="clear" w:color="auto" w:fill="FFFFFF"/>
    </w:rPr>
  </w:style>
  <w:style w:type="paragraph" w:customStyle="1" w:styleId="En-tte50">
    <w:name w:val="En-tête #5"/>
    <w:basedOn w:val="Normal"/>
    <w:link w:val="En-tte5"/>
    <w:uiPriority w:val="99"/>
    <w:rsid w:val="006C52CD"/>
    <w:pPr>
      <w:widowControl w:val="0"/>
      <w:shd w:val="clear" w:color="auto" w:fill="FFFFFF"/>
      <w:spacing w:before="480" w:after="180" w:line="240" w:lineRule="atLeast"/>
      <w:jc w:val="both"/>
      <w:outlineLvl w:val="4"/>
    </w:pPr>
    <w:rPr>
      <w:rFonts w:eastAsiaTheme="minorHAnsi" w:cstheme="minorBidi"/>
      <w:b/>
      <w:bCs/>
      <w:color w:val="1F497D"/>
    </w:rPr>
  </w:style>
  <w:style w:type="character" w:customStyle="1" w:styleId="Corpsdutexte5">
    <w:name w:val="Corps du texte (5)_"/>
    <w:link w:val="Corpsdutexte51"/>
    <w:uiPriority w:val="99"/>
    <w:locked/>
    <w:rsid w:val="006C52CD"/>
    <w:rPr>
      <w:i/>
      <w:iCs/>
      <w:sz w:val="23"/>
      <w:szCs w:val="23"/>
      <w:shd w:val="clear" w:color="auto" w:fill="FFFFFF"/>
    </w:rPr>
  </w:style>
  <w:style w:type="paragraph" w:customStyle="1" w:styleId="Corpsdutexte51">
    <w:name w:val="Corps du texte (5)1"/>
    <w:basedOn w:val="Normal"/>
    <w:link w:val="Corpsdutexte5"/>
    <w:uiPriority w:val="99"/>
    <w:rsid w:val="006C52CD"/>
    <w:pPr>
      <w:widowControl w:val="0"/>
      <w:shd w:val="clear" w:color="auto" w:fill="FFFFFF"/>
      <w:spacing w:before="240" w:after="360" w:line="240" w:lineRule="atLeast"/>
      <w:ind w:hanging="360"/>
      <w:jc w:val="both"/>
    </w:pPr>
    <w:rPr>
      <w:rFonts w:eastAsiaTheme="minorHAnsi" w:cstheme="minorBidi"/>
      <w:i/>
      <w:iCs/>
      <w:color w:val="1F497D"/>
      <w:sz w:val="23"/>
      <w:szCs w:val="23"/>
    </w:rPr>
  </w:style>
  <w:style w:type="character" w:customStyle="1" w:styleId="Corpsdutexte9">
    <w:name w:val="Corps du texte (9)_"/>
    <w:link w:val="Corpsdutexte90"/>
    <w:uiPriority w:val="99"/>
    <w:locked/>
    <w:rsid w:val="006C52CD"/>
    <w:rPr>
      <w:b/>
      <w:bCs/>
      <w:sz w:val="22"/>
      <w:szCs w:val="22"/>
      <w:shd w:val="clear" w:color="auto" w:fill="FFFFFF"/>
    </w:rPr>
  </w:style>
  <w:style w:type="paragraph" w:customStyle="1" w:styleId="Corpsdutexte90">
    <w:name w:val="Corps du texte (9)"/>
    <w:basedOn w:val="Normal"/>
    <w:link w:val="Corpsdutexte9"/>
    <w:uiPriority w:val="99"/>
    <w:rsid w:val="006C52CD"/>
    <w:pPr>
      <w:widowControl w:val="0"/>
      <w:shd w:val="clear" w:color="auto" w:fill="FFFFFF"/>
      <w:spacing w:line="240" w:lineRule="atLeast"/>
    </w:pPr>
    <w:rPr>
      <w:rFonts w:eastAsiaTheme="minorHAnsi" w:cstheme="minorBidi"/>
      <w:b/>
      <w:bCs/>
      <w:color w:val="1F497D"/>
    </w:rPr>
  </w:style>
  <w:style w:type="character" w:customStyle="1" w:styleId="Corpsdutexte5NonItalique">
    <w:name w:val="Corps du texte (5) + Non Italique"/>
    <w:uiPriority w:val="99"/>
    <w:rsid w:val="006C52CD"/>
    <w:rPr>
      <w:i w:val="0"/>
      <w:iCs w:val="0"/>
      <w:sz w:val="23"/>
      <w:szCs w:val="23"/>
      <w:shd w:val="clear" w:color="auto" w:fill="FFFFFF"/>
    </w:rPr>
  </w:style>
  <w:style w:type="character" w:customStyle="1" w:styleId="Corpsdutexte5NonItalique4">
    <w:name w:val="Corps du texte (5) + Non Italique4"/>
    <w:uiPriority w:val="99"/>
    <w:rsid w:val="006C52CD"/>
    <w:rPr>
      <w:i w:val="0"/>
      <w:iCs w:val="0"/>
      <w:sz w:val="23"/>
      <w:szCs w:val="23"/>
      <w:shd w:val="clear" w:color="auto" w:fill="FFFFFF"/>
    </w:rPr>
  </w:style>
  <w:style w:type="character" w:customStyle="1" w:styleId="Corpsdutexte5NonItalique3">
    <w:name w:val="Corps du texte (5) + Non Italique3"/>
    <w:uiPriority w:val="99"/>
    <w:rsid w:val="006C52CD"/>
    <w:rPr>
      <w:i w:val="0"/>
      <w:iCs w:val="0"/>
      <w:sz w:val="23"/>
      <w:szCs w:val="23"/>
      <w:shd w:val="clear" w:color="auto" w:fill="FFFFFF"/>
    </w:rPr>
  </w:style>
  <w:style w:type="paragraph" w:styleId="PlainText">
    <w:name w:val="Plain Text"/>
    <w:basedOn w:val="Normal"/>
    <w:link w:val="PlainTextChar"/>
    <w:uiPriority w:val="99"/>
    <w:semiHidden/>
    <w:unhideWhenUsed/>
    <w:rsid w:val="0017327D"/>
    <w:rPr>
      <w:rFonts w:eastAsiaTheme="minorHAnsi" w:cstheme="minorBidi"/>
      <w:szCs w:val="21"/>
    </w:rPr>
  </w:style>
  <w:style w:type="character" w:customStyle="1" w:styleId="PlainTextChar">
    <w:name w:val="Plain Text Char"/>
    <w:basedOn w:val="DefaultParagraphFont"/>
    <w:link w:val="PlainText"/>
    <w:uiPriority w:val="99"/>
    <w:semiHidden/>
    <w:rsid w:val="0017327D"/>
    <w:rPr>
      <w:rFonts w:ascii="Calibri" w:hAnsi="Calibri"/>
      <w:color w:val="auto"/>
      <w:sz w:val="22"/>
      <w:szCs w:val="21"/>
    </w:rPr>
  </w:style>
  <w:style w:type="character" w:styleId="Hyperlink">
    <w:name w:val="Hyperlink"/>
    <w:basedOn w:val="DefaultParagraphFont"/>
    <w:uiPriority w:val="99"/>
    <w:unhideWhenUsed/>
    <w:rsid w:val="001E5E29"/>
    <w:rPr>
      <w:color w:val="0000FF"/>
      <w:u w:val="single"/>
    </w:rPr>
  </w:style>
  <w:style w:type="character" w:customStyle="1" w:styleId="UnresolvedMention1">
    <w:name w:val="Unresolved Mention1"/>
    <w:basedOn w:val="DefaultParagraphFont"/>
    <w:uiPriority w:val="99"/>
    <w:semiHidden/>
    <w:unhideWhenUsed/>
    <w:rsid w:val="001E5E29"/>
    <w:rPr>
      <w:color w:val="605E5C"/>
      <w:shd w:val="clear" w:color="auto" w:fill="E1DFDD"/>
    </w:rPr>
  </w:style>
  <w:style w:type="paragraph" w:customStyle="1" w:styleId="Pa12">
    <w:name w:val="Pa12"/>
    <w:basedOn w:val="Normal"/>
    <w:next w:val="Normal"/>
    <w:uiPriority w:val="99"/>
    <w:rsid w:val="00C12F4D"/>
    <w:pPr>
      <w:autoSpaceDE w:val="0"/>
      <w:autoSpaceDN w:val="0"/>
      <w:adjustRightInd w:val="0"/>
      <w:spacing w:line="191" w:lineRule="atLeast"/>
    </w:pPr>
    <w:rPr>
      <w:rFonts w:ascii="Myriad Pro" w:eastAsiaTheme="minorHAnsi" w:hAnsi="Myriad Pro" w:cstheme="minorBidi"/>
      <w:color w:val="1F497D"/>
      <w:sz w:val="24"/>
      <w:szCs w:val="24"/>
    </w:rPr>
  </w:style>
  <w:style w:type="character" w:customStyle="1" w:styleId="A17">
    <w:name w:val="A17"/>
    <w:uiPriority w:val="99"/>
    <w:rsid w:val="00C12F4D"/>
    <w:rPr>
      <w:rFonts w:cs="Myriad Pro"/>
      <w:color w:val="000000"/>
      <w:sz w:val="11"/>
      <w:szCs w:val="11"/>
    </w:rPr>
  </w:style>
  <w:style w:type="character" w:customStyle="1" w:styleId="UnresolvedMention2">
    <w:name w:val="Unresolved Mention2"/>
    <w:basedOn w:val="DefaultParagraphFont"/>
    <w:uiPriority w:val="99"/>
    <w:semiHidden/>
    <w:unhideWhenUsed/>
    <w:rsid w:val="003A080B"/>
    <w:rPr>
      <w:color w:val="605E5C"/>
      <w:shd w:val="clear" w:color="auto" w:fill="E1DFDD"/>
    </w:rPr>
  </w:style>
  <w:style w:type="character" w:styleId="FollowedHyperlink">
    <w:name w:val="FollowedHyperlink"/>
    <w:basedOn w:val="DefaultParagraphFont"/>
    <w:uiPriority w:val="99"/>
    <w:semiHidden/>
    <w:unhideWhenUsed/>
    <w:rsid w:val="00E4238F"/>
    <w:rPr>
      <w:color w:val="954F72" w:themeColor="followedHyperlink"/>
      <w:u w:val="single"/>
    </w:rPr>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
    <w:basedOn w:val="Normal"/>
    <w:link w:val="FootnoteReference"/>
    <w:uiPriority w:val="99"/>
    <w:qFormat/>
    <w:rsid w:val="000341B9"/>
    <w:pPr>
      <w:autoSpaceDE w:val="0"/>
      <w:autoSpaceDN w:val="0"/>
      <w:adjustRightInd w:val="0"/>
      <w:jc w:val="both"/>
    </w:pPr>
    <w:rPr>
      <w:rFonts w:eastAsiaTheme="minorHAnsi" w:cstheme="minorBidi"/>
      <w:color w:val="1F497D"/>
      <w:sz w:val="24"/>
      <w:szCs w:val="24"/>
      <w:vertAlign w:val="superscript"/>
    </w:rPr>
  </w:style>
  <w:style w:type="paragraph" w:styleId="NoSpacing">
    <w:name w:val="No Spacing"/>
    <w:uiPriority w:val="1"/>
    <w:qFormat/>
    <w:rsid w:val="004A79C1"/>
    <w:pPr>
      <w:spacing w:after="0" w:line="240" w:lineRule="auto"/>
    </w:pPr>
    <w:rPr>
      <w:rFonts w:eastAsia="Calibri" w:cs="Times New Roman"/>
      <w:color w:val="auto"/>
      <w:sz w:val="20"/>
      <w:szCs w:val="22"/>
    </w:rPr>
  </w:style>
  <w:style w:type="paragraph" w:styleId="Revision">
    <w:name w:val="Revision"/>
    <w:hidden/>
    <w:uiPriority w:val="99"/>
    <w:semiHidden/>
    <w:rsid w:val="008D3228"/>
    <w:pPr>
      <w:spacing w:after="0" w:line="240" w:lineRule="auto"/>
    </w:pPr>
    <w:rPr>
      <w:rFonts w:eastAsia="Calibri" w:cs="Times New Roman"/>
      <w:color w:val="auto"/>
      <w:sz w:val="20"/>
      <w:szCs w:val="22"/>
    </w:rPr>
  </w:style>
  <w:style w:type="character" w:styleId="UnresolvedMention">
    <w:name w:val="Unresolved Mention"/>
    <w:basedOn w:val="DefaultParagraphFont"/>
    <w:uiPriority w:val="99"/>
    <w:semiHidden/>
    <w:unhideWhenUsed/>
    <w:rsid w:val="007755AD"/>
    <w:rPr>
      <w:color w:val="605E5C"/>
      <w:shd w:val="clear" w:color="auto" w:fill="E1DFDD"/>
    </w:rPr>
  </w:style>
  <w:style w:type="paragraph" w:customStyle="1" w:styleId="paragraph">
    <w:name w:val="paragraph"/>
    <w:basedOn w:val="Normal"/>
    <w:rsid w:val="007C2B88"/>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7C2B88"/>
  </w:style>
  <w:style w:type="character" w:customStyle="1" w:styleId="eop">
    <w:name w:val="eop"/>
    <w:basedOn w:val="DefaultParagraphFont"/>
    <w:rsid w:val="007C2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5499">
      <w:bodyDiv w:val="1"/>
      <w:marLeft w:val="0"/>
      <w:marRight w:val="0"/>
      <w:marTop w:val="0"/>
      <w:marBottom w:val="0"/>
      <w:divBdr>
        <w:top w:val="none" w:sz="0" w:space="0" w:color="auto"/>
        <w:left w:val="none" w:sz="0" w:space="0" w:color="auto"/>
        <w:bottom w:val="none" w:sz="0" w:space="0" w:color="auto"/>
        <w:right w:val="none" w:sz="0" w:space="0" w:color="auto"/>
      </w:divBdr>
    </w:div>
    <w:div w:id="143276045">
      <w:bodyDiv w:val="1"/>
      <w:marLeft w:val="0"/>
      <w:marRight w:val="0"/>
      <w:marTop w:val="0"/>
      <w:marBottom w:val="0"/>
      <w:divBdr>
        <w:top w:val="none" w:sz="0" w:space="0" w:color="auto"/>
        <w:left w:val="none" w:sz="0" w:space="0" w:color="auto"/>
        <w:bottom w:val="none" w:sz="0" w:space="0" w:color="auto"/>
        <w:right w:val="none" w:sz="0" w:space="0" w:color="auto"/>
      </w:divBdr>
    </w:div>
    <w:div w:id="234705596">
      <w:bodyDiv w:val="1"/>
      <w:marLeft w:val="0"/>
      <w:marRight w:val="0"/>
      <w:marTop w:val="0"/>
      <w:marBottom w:val="0"/>
      <w:divBdr>
        <w:top w:val="none" w:sz="0" w:space="0" w:color="auto"/>
        <w:left w:val="none" w:sz="0" w:space="0" w:color="auto"/>
        <w:bottom w:val="none" w:sz="0" w:space="0" w:color="auto"/>
        <w:right w:val="none" w:sz="0" w:space="0" w:color="auto"/>
      </w:divBdr>
      <w:divsChild>
        <w:div w:id="763645954">
          <w:marLeft w:val="0"/>
          <w:marRight w:val="0"/>
          <w:marTop w:val="0"/>
          <w:marBottom w:val="0"/>
          <w:divBdr>
            <w:top w:val="none" w:sz="0" w:space="0" w:color="auto"/>
            <w:left w:val="none" w:sz="0" w:space="0" w:color="auto"/>
            <w:bottom w:val="none" w:sz="0" w:space="0" w:color="auto"/>
            <w:right w:val="none" w:sz="0" w:space="0" w:color="auto"/>
          </w:divBdr>
          <w:divsChild>
            <w:div w:id="1495954104">
              <w:marLeft w:val="0"/>
              <w:marRight w:val="0"/>
              <w:marTop w:val="0"/>
              <w:marBottom w:val="0"/>
              <w:divBdr>
                <w:top w:val="none" w:sz="0" w:space="0" w:color="auto"/>
                <w:left w:val="none" w:sz="0" w:space="0" w:color="auto"/>
                <w:bottom w:val="none" w:sz="0" w:space="0" w:color="auto"/>
                <w:right w:val="none" w:sz="0" w:space="0" w:color="auto"/>
              </w:divBdr>
              <w:divsChild>
                <w:div w:id="1474450163">
                  <w:marLeft w:val="0"/>
                  <w:marRight w:val="0"/>
                  <w:marTop w:val="0"/>
                  <w:marBottom w:val="0"/>
                  <w:divBdr>
                    <w:top w:val="none" w:sz="0" w:space="0" w:color="auto"/>
                    <w:left w:val="none" w:sz="0" w:space="0" w:color="auto"/>
                    <w:bottom w:val="none" w:sz="0" w:space="0" w:color="auto"/>
                    <w:right w:val="none" w:sz="0" w:space="0" w:color="auto"/>
                  </w:divBdr>
                  <w:divsChild>
                    <w:div w:id="1540052837">
                      <w:marLeft w:val="0"/>
                      <w:marRight w:val="0"/>
                      <w:marTop w:val="0"/>
                      <w:marBottom w:val="0"/>
                      <w:divBdr>
                        <w:top w:val="none" w:sz="0" w:space="0" w:color="auto"/>
                        <w:left w:val="none" w:sz="0" w:space="0" w:color="auto"/>
                        <w:bottom w:val="none" w:sz="0" w:space="0" w:color="auto"/>
                        <w:right w:val="none" w:sz="0" w:space="0" w:color="auto"/>
                      </w:divBdr>
                      <w:divsChild>
                        <w:div w:id="405759352">
                          <w:marLeft w:val="0"/>
                          <w:marRight w:val="0"/>
                          <w:marTop w:val="0"/>
                          <w:marBottom w:val="0"/>
                          <w:divBdr>
                            <w:top w:val="none" w:sz="0" w:space="0" w:color="auto"/>
                            <w:left w:val="none" w:sz="0" w:space="0" w:color="auto"/>
                            <w:bottom w:val="none" w:sz="0" w:space="0" w:color="auto"/>
                            <w:right w:val="none" w:sz="0" w:space="0" w:color="auto"/>
                          </w:divBdr>
                          <w:divsChild>
                            <w:div w:id="2035108363">
                              <w:marLeft w:val="0"/>
                              <w:marRight w:val="0"/>
                              <w:marTop w:val="0"/>
                              <w:marBottom w:val="0"/>
                              <w:divBdr>
                                <w:top w:val="none" w:sz="0" w:space="0" w:color="auto"/>
                                <w:left w:val="none" w:sz="0" w:space="0" w:color="auto"/>
                                <w:bottom w:val="none" w:sz="0" w:space="0" w:color="auto"/>
                                <w:right w:val="none" w:sz="0" w:space="0" w:color="auto"/>
                              </w:divBdr>
                              <w:divsChild>
                                <w:div w:id="935137908">
                                  <w:marLeft w:val="0"/>
                                  <w:marRight w:val="0"/>
                                  <w:marTop w:val="0"/>
                                  <w:marBottom w:val="0"/>
                                  <w:divBdr>
                                    <w:top w:val="none" w:sz="0" w:space="0" w:color="auto"/>
                                    <w:left w:val="none" w:sz="0" w:space="0" w:color="auto"/>
                                    <w:bottom w:val="none" w:sz="0" w:space="0" w:color="auto"/>
                                    <w:right w:val="none" w:sz="0" w:space="0" w:color="auto"/>
                                  </w:divBdr>
                                  <w:divsChild>
                                    <w:div w:id="1346710125">
                                      <w:marLeft w:val="-120"/>
                                      <w:marRight w:val="0"/>
                                      <w:marTop w:val="0"/>
                                      <w:marBottom w:val="0"/>
                                      <w:divBdr>
                                        <w:top w:val="none" w:sz="0" w:space="0" w:color="auto"/>
                                        <w:left w:val="none" w:sz="0" w:space="0" w:color="auto"/>
                                        <w:bottom w:val="none" w:sz="0" w:space="0" w:color="auto"/>
                                        <w:right w:val="none" w:sz="0" w:space="0" w:color="auto"/>
                                      </w:divBdr>
                                      <w:divsChild>
                                        <w:div w:id="799223570">
                                          <w:marLeft w:val="0"/>
                                          <w:marRight w:val="0"/>
                                          <w:marTop w:val="0"/>
                                          <w:marBottom w:val="0"/>
                                          <w:divBdr>
                                            <w:top w:val="none" w:sz="0" w:space="0" w:color="auto"/>
                                            <w:left w:val="none" w:sz="0" w:space="0" w:color="auto"/>
                                            <w:bottom w:val="none" w:sz="0" w:space="0" w:color="auto"/>
                                            <w:right w:val="none" w:sz="0" w:space="0" w:color="auto"/>
                                          </w:divBdr>
                                          <w:divsChild>
                                            <w:div w:id="511605446">
                                              <w:marLeft w:val="0"/>
                                              <w:marRight w:val="0"/>
                                              <w:marTop w:val="0"/>
                                              <w:marBottom w:val="0"/>
                                              <w:divBdr>
                                                <w:top w:val="none" w:sz="0" w:space="0" w:color="auto"/>
                                                <w:left w:val="none" w:sz="0" w:space="0" w:color="auto"/>
                                                <w:bottom w:val="none" w:sz="0" w:space="0" w:color="auto"/>
                                                <w:right w:val="none" w:sz="0" w:space="0" w:color="auto"/>
                                              </w:divBdr>
                                              <w:divsChild>
                                                <w:div w:id="14058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490240">
      <w:bodyDiv w:val="1"/>
      <w:marLeft w:val="0"/>
      <w:marRight w:val="0"/>
      <w:marTop w:val="0"/>
      <w:marBottom w:val="0"/>
      <w:divBdr>
        <w:top w:val="none" w:sz="0" w:space="0" w:color="auto"/>
        <w:left w:val="none" w:sz="0" w:space="0" w:color="auto"/>
        <w:bottom w:val="none" w:sz="0" w:space="0" w:color="auto"/>
        <w:right w:val="none" w:sz="0" w:space="0" w:color="auto"/>
      </w:divBdr>
    </w:div>
    <w:div w:id="260337167">
      <w:bodyDiv w:val="1"/>
      <w:marLeft w:val="0"/>
      <w:marRight w:val="0"/>
      <w:marTop w:val="0"/>
      <w:marBottom w:val="0"/>
      <w:divBdr>
        <w:top w:val="none" w:sz="0" w:space="0" w:color="auto"/>
        <w:left w:val="none" w:sz="0" w:space="0" w:color="auto"/>
        <w:bottom w:val="none" w:sz="0" w:space="0" w:color="auto"/>
        <w:right w:val="none" w:sz="0" w:space="0" w:color="auto"/>
      </w:divBdr>
    </w:div>
    <w:div w:id="320157103">
      <w:bodyDiv w:val="1"/>
      <w:marLeft w:val="0"/>
      <w:marRight w:val="0"/>
      <w:marTop w:val="0"/>
      <w:marBottom w:val="0"/>
      <w:divBdr>
        <w:top w:val="none" w:sz="0" w:space="0" w:color="auto"/>
        <w:left w:val="none" w:sz="0" w:space="0" w:color="auto"/>
        <w:bottom w:val="none" w:sz="0" w:space="0" w:color="auto"/>
        <w:right w:val="none" w:sz="0" w:space="0" w:color="auto"/>
      </w:divBdr>
    </w:div>
    <w:div w:id="392048138">
      <w:bodyDiv w:val="1"/>
      <w:marLeft w:val="0"/>
      <w:marRight w:val="0"/>
      <w:marTop w:val="0"/>
      <w:marBottom w:val="0"/>
      <w:divBdr>
        <w:top w:val="none" w:sz="0" w:space="0" w:color="auto"/>
        <w:left w:val="none" w:sz="0" w:space="0" w:color="auto"/>
        <w:bottom w:val="none" w:sz="0" w:space="0" w:color="auto"/>
        <w:right w:val="none" w:sz="0" w:space="0" w:color="auto"/>
      </w:divBdr>
    </w:div>
    <w:div w:id="393283816">
      <w:bodyDiv w:val="1"/>
      <w:marLeft w:val="0"/>
      <w:marRight w:val="0"/>
      <w:marTop w:val="0"/>
      <w:marBottom w:val="0"/>
      <w:divBdr>
        <w:top w:val="none" w:sz="0" w:space="0" w:color="auto"/>
        <w:left w:val="none" w:sz="0" w:space="0" w:color="auto"/>
        <w:bottom w:val="none" w:sz="0" w:space="0" w:color="auto"/>
        <w:right w:val="none" w:sz="0" w:space="0" w:color="auto"/>
      </w:divBdr>
    </w:div>
    <w:div w:id="395515707">
      <w:bodyDiv w:val="1"/>
      <w:marLeft w:val="0"/>
      <w:marRight w:val="0"/>
      <w:marTop w:val="0"/>
      <w:marBottom w:val="0"/>
      <w:divBdr>
        <w:top w:val="none" w:sz="0" w:space="0" w:color="auto"/>
        <w:left w:val="none" w:sz="0" w:space="0" w:color="auto"/>
        <w:bottom w:val="none" w:sz="0" w:space="0" w:color="auto"/>
        <w:right w:val="none" w:sz="0" w:space="0" w:color="auto"/>
      </w:divBdr>
    </w:div>
    <w:div w:id="440492922">
      <w:bodyDiv w:val="1"/>
      <w:marLeft w:val="0"/>
      <w:marRight w:val="0"/>
      <w:marTop w:val="0"/>
      <w:marBottom w:val="0"/>
      <w:divBdr>
        <w:top w:val="none" w:sz="0" w:space="0" w:color="auto"/>
        <w:left w:val="none" w:sz="0" w:space="0" w:color="auto"/>
        <w:bottom w:val="none" w:sz="0" w:space="0" w:color="auto"/>
        <w:right w:val="none" w:sz="0" w:space="0" w:color="auto"/>
      </w:divBdr>
    </w:div>
    <w:div w:id="454562480">
      <w:bodyDiv w:val="1"/>
      <w:marLeft w:val="0"/>
      <w:marRight w:val="0"/>
      <w:marTop w:val="0"/>
      <w:marBottom w:val="0"/>
      <w:divBdr>
        <w:top w:val="none" w:sz="0" w:space="0" w:color="auto"/>
        <w:left w:val="none" w:sz="0" w:space="0" w:color="auto"/>
        <w:bottom w:val="none" w:sz="0" w:space="0" w:color="auto"/>
        <w:right w:val="none" w:sz="0" w:space="0" w:color="auto"/>
      </w:divBdr>
    </w:div>
    <w:div w:id="555892113">
      <w:bodyDiv w:val="1"/>
      <w:marLeft w:val="0"/>
      <w:marRight w:val="0"/>
      <w:marTop w:val="0"/>
      <w:marBottom w:val="0"/>
      <w:divBdr>
        <w:top w:val="none" w:sz="0" w:space="0" w:color="auto"/>
        <w:left w:val="none" w:sz="0" w:space="0" w:color="auto"/>
        <w:bottom w:val="none" w:sz="0" w:space="0" w:color="auto"/>
        <w:right w:val="none" w:sz="0" w:space="0" w:color="auto"/>
      </w:divBdr>
    </w:div>
    <w:div w:id="556356782">
      <w:bodyDiv w:val="1"/>
      <w:marLeft w:val="0"/>
      <w:marRight w:val="0"/>
      <w:marTop w:val="0"/>
      <w:marBottom w:val="0"/>
      <w:divBdr>
        <w:top w:val="none" w:sz="0" w:space="0" w:color="auto"/>
        <w:left w:val="none" w:sz="0" w:space="0" w:color="auto"/>
        <w:bottom w:val="none" w:sz="0" w:space="0" w:color="auto"/>
        <w:right w:val="none" w:sz="0" w:space="0" w:color="auto"/>
      </w:divBdr>
      <w:divsChild>
        <w:div w:id="699554072">
          <w:marLeft w:val="0"/>
          <w:marRight w:val="0"/>
          <w:marTop w:val="0"/>
          <w:marBottom w:val="0"/>
          <w:divBdr>
            <w:top w:val="none" w:sz="0" w:space="0" w:color="auto"/>
            <w:left w:val="none" w:sz="0" w:space="0" w:color="auto"/>
            <w:bottom w:val="none" w:sz="0" w:space="0" w:color="auto"/>
            <w:right w:val="none" w:sz="0" w:space="0" w:color="auto"/>
          </w:divBdr>
        </w:div>
        <w:div w:id="205528716">
          <w:marLeft w:val="0"/>
          <w:marRight w:val="0"/>
          <w:marTop w:val="0"/>
          <w:marBottom w:val="0"/>
          <w:divBdr>
            <w:top w:val="none" w:sz="0" w:space="0" w:color="auto"/>
            <w:left w:val="none" w:sz="0" w:space="0" w:color="auto"/>
            <w:bottom w:val="none" w:sz="0" w:space="0" w:color="auto"/>
            <w:right w:val="none" w:sz="0" w:space="0" w:color="auto"/>
          </w:divBdr>
        </w:div>
        <w:div w:id="1850411565">
          <w:marLeft w:val="0"/>
          <w:marRight w:val="0"/>
          <w:marTop w:val="0"/>
          <w:marBottom w:val="0"/>
          <w:divBdr>
            <w:top w:val="none" w:sz="0" w:space="0" w:color="auto"/>
            <w:left w:val="none" w:sz="0" w:space="0" w:color="auto"/>
            <w:bottom w:val="none" w:sz="0" w:space="0" w:color="auto"/>
            <w:right w:val="none" w:sz="0" w:space="0" w:color="auto"/>
          </w:divBdr>
        </w:div>
        <w:div w:id="1499804611">
          <w:marLeft w:val="0"/>
          <w:marRight w:val="0"/>
          <w:marTop w:val="0"/>
          <w:marBottom w:val="0"/>
          <w:divBdr>
            <w:top w:val="none" w:sz="0" w:space="0" w:color="auto"/>
            <w:left w:val="none" w:sz="0" w:space="0" w:color="auto"/>
            <w:bottom w:val="none" w:sz="0" w:space="0" w:color="auto"/>
            <w:right w:val="none" w:sz="0" w:space="0" w:color="auto"/>
          </w:divBdr>
        </w:div>
        <w:div w:id="1471097559">
          <w:marLeft w:val="0"/>
          <w:marRight w:val="0"/>
          <w:marTop w:val="0"/>
          <w:marBottom w:val="0"/>
          <w:divBdr>
            <w:top w:val="none" w:sz="0" w:space="0" w:color="auto"/>
            <w:left w:val="none" w:sz="0" w:space="0" w:color="auto"/>
            <w:bottom w:val="none" w:sz="0" w:space="0" w:color="auto"/>
            <w:right w:val="none" w:sz="0" w:space="0" w:color="auto"/>
          </w:divBdr>
        </w:div>
        <w:div w:id="188154152">
          <w:marLeft w:val="0"/>
          <w:marRight w:val="0"/>
          <w:marTop w:val="0"/>
          <w:marBottom w:val="0"/>
          <w:divBdr>
            <w:top w:val="none" w:sz="0" w:space="0" w:color="auto"/>
            <w:left w:val="none" w:sz="0" w:space="0" w:color="auto"/>
            <w:bottom w:val="none" w:sz="0" w:space="0" w:color="auto"/>
            <w:right w:val="none" w:sz="0" w:space="0" w:color="auto"/>
          </w:divBdr>
        </w:div>
        <w:div w:id="1938368269">
          <w:marLeft w:val="0"/>
          <w:marRight w:val="0"/>
          <w:marTop w:val="0"/>
          <w:marBottom w:val="0"/>
          <w:divBdr>
            <w:top w:val="none" w:sz="0" w:space="0" w:color="auto"/>
            <w:left w:val="none" w:sz="0" w:space="0" w:color="auto"/>
            <w:bottom w:val="none" w:sz="0" w:space="0" w:color="auto"/>
            <w:right w:val="none" w:sz="0" w:space="0" w:color="auto"/>
          </w:divBdr>
        </w:div>
      </w:divsChild>
    </w:div>
    <w:div w:id="636491803">
      <w:bodyDiv w:val="1"/>
      <w:marLeft w:val="0"/>
      <w:marRight w:val="0"/>
      <w:marTop w:val="0"/>
      <w:marBottom w:val="0"/>
      <w:divBdr>
        <w:top w:val="none" w:sz="0" w:space="0" w:color="auto"/>
        <w:left w:val="none" w:sz="0" w:space="0" w:color="auto"/>
        <w:bottom w:val="none" w:sz="0" w:space="0" w:color="auto"/>
        <w:right w:val="none" w:sz="0" w:space="0" w:color="auto"/>
      </w:divBdr>
    </w:div>
    <w:div w:id="715550375">
      <w:bodyDiv w:val="1"/>
      <w:marLeft w:val="0"/>
      <w:marRight w:val="0"/>
      <w:marTop w:val="0"/>
      <w:marBottom w:val="0"/>
      <w:divBdr>
        <w:top w:val="none" w:sz="0" w:space="0" w:color="auto"/>
        <w:left w:val="none" w:sz="0" w:space="0" w:color="auto"/>
        <w:bottom w:val="none" w:sz="0" w:space="0" w:color="auto"/>
        <w:right w:val="none" w:sz="0" w:space="0" w:color="auto"/>
      </w:divBdr>
    </w:div>
    <w:div w:id="718865527">
      <w:bodyDiv w:val="1"/>
      <w:marLeft w:val="0"/>
      <w:marRight w:val="0"/>
      <w:marTop w:val="0"/>
      <w:marBottom w:val="0"/>
      <w:divBdr>
        <w:top w:val="none" w:sz="0" w:space="0" w:color="auto"/>
        <w:left w:val="none" w:sz="0" w:space="0" w:color="auto"/>
        <w:bottom w:val="none" w:sz="0" w:space="0" w:color="auto"/>
        <w:right w:val="none" w:sz="0" w:space="0" w:color="auto"/>
      </w:divBdr>
    </w:div>
    <w:div w:id="814953014">
      <w:bodyDiv w:val="1"/>
      <w:marLeft w:val="0"/>
      <w:marRight w:val="0"/>
      <w:marTop w:val="0"/>
      <w:marBottom w:val="0"/>
      <w:divBdr>
        <w:top w:val="none" w:sz="0" w:space="0" w:color="auto"/>
        <w:left w:val="none" w:sz="0" w:space="0" w:color="auto"/>
        <w:bottom w:val="none" w:sz="0" w:space="0" w:color="auto"/>
        <w:right w:val="none" w:sz="0" w:space="0" w:color="auto"/>
      </w:divBdr>
    </w:div>
    <w:div w:id="825435655">
      <w:bodyDiv w:val="1"/>
      <w:marLeft w:val="0"/>
      <w:marRight w:val="0"/>
      <w:marTop w:val="0"/>
      <w:marBottom w:val="0"/>
      <w:divBdr>
        <w:top w:val="none" w:sz="0" w:space="0" w:color="auto"/>
        <w:left w:val="none" w:sz="0" w:space="0" w:color="auto"/>
        <w:bottom w:val="none" w:sz="0" w:space="0" w:color="auto"/>
        <w:right w:val="none" w:sz="0" w:space="0" w:color="auto"/>
      </w:divBdr>
    </w:div>
    <w:div w:id="832796658">
      <w:bodyDiv w:val="1"/>
      <w:marLeft w:val="0"/>
      <w:marRight w:val="0"/>
      <w:marTop w:val="0"/>
      <w:marBottom w:val="0"/>
      <w:divBdr>
        <w:top w:val="none" w:sz="0" w:space="0" w:color="auto"/>
        <w:left w:val="none" w:sz="0" w:space="0" w:color="auto"/>
        <w:bottom w:val="none" w:sz="0" w:space="0" w:color="auto"/>
        <w:right w:val="none" w:sz="0" w:space="0" w:color="auto"/>
      </w:divBdr>
    </w:div>
    <w:div w:id="838039464">
      <w:bodyDiv w:val="1"/>
      <w:marLeft w:val="0"/>
      <w:marRight w:val="0"/>
      <w:marTop w:val="0"/>
      <w:marBottom w:val="0"/>
      <w:divBdr>
        <w:top w:val="none" w:sz="0" w:space="0" w:color="auto"/>
        <w:left w:val="none" w:sz="0" w:space="0" w:color="auto"/>
        <w:bottom w:val="none" w:sz="0" w:space="0" w:color="auto"/>
        <w:right w:val="none" w:sz="0" w:space="0" w:color="auto"/>
      </w:divBdr>
    </w:div>
    <w:div w:id="917641887">
      <w:bodyDiv w:val="1"/>
      <w:marLeft w:val="0"/>
      <w:marRight w:val="0"/>
      <w:marTop w:val="0"/>
      <w:marBottom w:val="0"/>
      <w:divBdr>
        <w:top w:val="none" w:sz="0" w:space="0" w:color="auto"/>
        <w:left w:val="none" w:sz="0" w:space="0" w:color="auto"/>
        <w:bottom w:val="none" w:sz="0" w:space="0" w:color="auto"/>
        <w:right w:val="none" w:sz="0" w:space="0" w:color="auto"/>
      </w:divBdr>
      <w:divsChild>
        <w:div w:id="1879970484">
          <w:marLeft w:val="0"/>
          <w:marRight w:val="0"/>
          <w:marTop w:val="0"/>
          <w:marBottom w:val="0"/>
          <w:divBdr>
            <w:top w:val="none" w:sz="0" w:space="0" w:color="auto"/>
            <w:left w:val="none" w:sz="0" w:space="0" w:color="auto"/>
            <w:bottom w:val="none" w:sz="0" w:space="0" w:color="auto"/>
            <w:right w:val="none" w:sz="0" w:space="0" w:color="auto"/>
          </w:divBdr>
        </w:div>
        <w:div w:id="174615731">
          <w:marLeft w:val="0"/>
          <w:marRight w:val="0"/>
          <w:marTop w:val="0"/>
          <w:marBottom w:val="0"/>
          <w:divBdr>
            <w:top w:val="none" w:sz="0" w:space="0" w:color="auto"/>
            <w:left w:val="none" w:sz="0" w:space="0" w:color="auto"/>
            <w:bottom w:val="none" w:sz="0" w:space="0" w:color="auto"/>
            <w:right w:val="none" w:sz="0" w:space="0" w:color="auto"/>
          </w:divBdr>
        </w:div>
      </w:divsChild>
    </w:div>
    <w:div w:id="929895752">
      <w:bodyDiv w:val="1"/>
      <w:marLeft w:val="0"/>
      <w:marRight w:val="0"/>
      <w:marTop w:val="0"/>
      <w:marBottom w:val="0"/>
      <w:divBdr>
        <w:top w:val="none" w:sz="0" w:space="0" w:color="auto"/>
        <w:left w:val="none" w:sz="0" w:space="0" w:color="auto"/>
        <w:bottom w:val="none" w:sz="0" w:space="0" w:color="auto"/>
        <w:right w:val="none" w:sz="0" w:space="0" w:color="auto"/>
      </w:divBdr>
    </w:div>
    <w:div w:id="935408177">
      <w:bodyDiv w:val="1"/>
      <w:marLeft w:val="0"/>
      <w:marRight w:val="0"/>
      <w:marTop w:val="0"/>
      <w:marBottom w:val="0"/>
      <w:divBdr>
        <w:top w:val="none" w:sz="0" w:space="0" w:color="auto"/>
        <w:left w:val="none" w:sz="0" w:space="0" w:color="auto"/>
        <w:bottom w:val="none" w:sz="0" w:space="0" w:color="auto"/>
        <w:right w:val="none" w:sz="0" w:space="0" w:color="auto"/>
      </w:divBdr>
    </w:div>
    <w:div w:id="983586527">
      <w:bodyDiv w:val="1"/>
      <w:marLeft w:val="0"/>
      <w:marRight w:val="0"/>
      <w:marTop w:val="0"/>
      <w:marBottom w:val="0"/>
      <w:divBdr>
        <w:top w:val="none" w:sz="0" w:space="0" w:color="auto"/>
        <w:left w:val="none" w:sz="0" w:space="0" w:color="auto"/>
        <w:bottom w:val="none" w:sz="0" w:space="0" w:color="auto"/>
        <w:right w:val="none" w:sz="0" w:space="0" w:color="auto"/>
      </w:divBdr>
      <w:divsChild>
        <w:div w:id="171065864">
          <w:marLeft w:val="0"/>
          <w:marRight w:val="0"/>
          <w:marTop w:val="0"/>
          <w:marBottom w:val="0"/>
          <w:divBdr>
            <w:top w:val="none" w:sz="0" w:space="0" w:color="auto"/>
            <w:left w:val="none" w:sz="0" w:space="0" w:color="auto"/>
            <w:bottom w:val="none" w:sz="0" w:space="0" w:color="auto"/>
            <w:right w:val="none" w:sz="0" w:space="0" w:color="auto"/>
          </w:divBdr>
          <w:divsChild>
            <w:div w:id="254092687">
              <w:marLeft w:val="0"/>
              <w:marRight w:val="0"/>
              <w:marTop w:val="0"/>
              <w:marBottom w:val="0"/>
              <w:divBdr>
                <w:top w:val="none" w:sz="0" w:space="0" w:color="auto"/>
                <w:left w:val="none" w:sz="0" w:space="0" w:color="auto"/>
                <w:bottom w:val="none" w:sz="0" w:space="0" w:color="auto"/>
                <w:right w:val="none" w:sz="0" w:space="0" w:color="auto"/>
              </w:divBdr>
            </w:div>
            <w:div w:id="2062434706">
              <w:marLeft w:val="0"/>
              <w:marRight w:val="0"/>
              <w:marTop w:val="0"/>
              <w:marBottom w:val="0"/>
              <w:divBdr>
                <w:top w:val="none" w:sz="0" w:space="0" w:color="auto"/>
                <w:left w:val="none" w:sz="0" w:space="0" w:color="auto"/>
                <w:bottom w:val="none" w:sz="0" w:space="0" w:color="auto"/>
                <w:right w:val="none" w:sz="0" w:space="0" w:color="auto"/>
              </w:divBdr>
            </w:div>
            <w:div w:id="539166801">
              <w:marLeft w:val="0"/>
              <w:marRight w:val="0"/>
              <w:marTop w:val="0"/>
              <w:marBottom w:val="0"/>
              <w:divBdr>
                <w:top w:val="none" w:sz="0" w:space="0" w:color="auto"/>
                <w:left w:val="none" w:sz="0" w:space="0" w:color="auto"/>
                <w:bottom w:val="none" w:sz="0" w:space="0" w:color="auto"/>
                <w:right w:val="none" w:sz="0" w:space="0" w:color="auto"/>
              </w:divBdr>
            </w:div>
          </w:divsChild>
        </w:div>
        <w:div w:id="13699351">
          <w:marLeft w:val="0"/>
          <w:marRight w:val="0"/>
          <w:marTop w:val="0"/>
          <w:marBottom w:val="0"/>
          <w:divBdr>
            <w:top w:val="none" w:sz="0" w:space="0" w:color="auto"/>
            <w:left w:val="none" w:sz="0" w:space="0" w:color="auto"/>
            <w:bottom w:val="none" w:sz="0" w:space="0" w:color="auto"/>
            <w:right w:val="none" w:sz="0" w:space="0" w:color="auto"/>
          </w:divBdr>
          <w:divsChild>
            <w:div w:id="1376000087">
              <w:marLeft w:val="0"/>
              <w:marRight w:val="0"/>
              <w:marTop w:val="0"/>
              <w:marBottom w:val="0"/>
              <w:divBdr>
                <w:top w:val="none" w:sz="0" w:space="0" w:color="auto"/>
                <w:left w:val="none" w:sz="0" w:space="0" w:color="auto"/>
                <w:bottom w:val="none" w:sz="0" w:space="0" w:color="auto"/>
                <w:right w:val="none" w:sz="0" w:space="0" w:color="auto"/>
              </w:divBdr>
            </w:div>
            <w:div w:id="1240823682">
              <w:marLeft w:val="0"/>
              <w:marRight w:val="0"/>
              <w:marTop w:val="0"/>
              <w:marBottom w:val="0"/>
              <w:divBdr>
                <w:top w:val="none" w:sz="0" w:space="0" w:color="auto"/>
                <w:left w:val="none" w:sz="0" w:space="0" w:color="auto"/>
                <w:bottom w:val="none" w:sz="0" w:space="0" w:color="auto"/>
                <w:right w:val="none" w:sz="0" w:space="0" w:color="auto"/>
              </w:divBdr>
            </w:div>
            <w:div w:id="1841238596">
              <w:marLeft w:val="0"/>
              <w:marRight w:val="0"/>
              <w:marTop w:val="0"/>
              <w:marBottom w:val="0"/>
              <w:divBdr>
                <w:top w:val="none" w:sz="0" w:space="0" w:color="auto"/>
                <w:left w:val="none" w:sz="0" w:space="0" w:color="auto"/>
                <w:bottom w:val="none" w:sz="0" w:space="0" w:color="auto"/>
                <w:right w:val="none" w:sz="0" w:space="0" w:color="auto"/>
              </w:divBdr>
            </w:div>
            <w:div w:id="1266645947">
              <w:marLeft w:val="0"/>
              <w:marRight w:val="0"/>
              <w:marTop w:val="0"/>
              <w:marBottom w:val="0"/>
              <w:divBdr>
                <w:top w:val="none" w:sz="0" w:space="0" w:color="auto"/>
                <w:left w:val="none" w:sz="0" w:space="0" w:color="auto"/>
                <w:bottom w:val="none" w:sz="0" w:space="0" w:color="auto"/>
                <w:right w:val="none" w:sz="0" w:space="0" w:color="auto"/>
              </w:divBdr>
            </w:div>
            <w:div w:id="1938634553">
              <w:marLeft w:val="0"/>
              <w:marRight w:val="0"/>
              <w:marTop w:val="0"/>
              <w:marBottom w:val="0"/>
              <w:divBdr>
                <w:top w:val="none" w:sz="0" w:space="0" w:color="auto"/>
                <w:left w:val="none" w:sz="0" w:space="0" w:color="auto"/>
                <w:bottom w:val="none" w:sz="0" w:space="0" w:color="auto"/>
                <w:right w:val="none" w:sz="0" w:space="0" w:color="auto"/>
              </w:divBdr>
            </w:div>
            <w:div w:id="445664439">
              <w:marLeft w:val="0"/>
              <w:marRight w:val="0"/>
              <w:marTop w:val="0"/>
              <w:marBottom w:val="0"/>
              <w:divBdr>
                <w:top w:val="none" w:sz="0" w:space="0" w:color="auto"/>
                <w:left w:val="none" w:sz="0" w:space="0" w:color="auto"/>
                <w:bottom w:val="none" w:sz="0" w:space="0" w:color="auto"/>
                <w:right w:val="none" w:sz="0" w:space="0" w:color="auto"/>
              </w:divBdr>
            </w:div>
            <w:div w:id="493767872">
              <w:marLeft w:val="0"/>
              <w:marRight w:val="0"/>
              <w:marTop w:val="0"/>
              <w:marBottom w:val="0"/>
              <w:divBdr>
                <w:top w:val="none" w:sz="0" w:space="0" w:color="auto"/>
                <w:left w:val="none" w:sz="0" w:space="0" w:color="auto"/>
                <w:bottom w:val="none" w:sz="0" w:space="0" w:color="auto"/>
                <w:right w:val="none" w:sz="0" w:space="0" w:color="auto"/>
              </w:divBdr>
            </w:div>
          </w:divsChild>
        </w:div>
        <w:div w:id="626398301">
          <w:marLeft w:val="0"/>
          <w:marRight w:val="0"/>
          <w:marTop w:val="0"/>
          <w:marBottom w:val="0"/>
          <w:divBdr>
            <w:top w:val="none" w:sz="0" w:space="0" w:color="auto"/>
            <w:left w:val="none" w:sz="0" w:space="0" w:color="auto"/>
            <w:bottom w:val="none" w:sz="0" w:space="0" w:color="auto"/>
            <w:right w:val="none" w:sz="0" w:space="0" w:color="auto"/>
          </w:divBdr>
          <w:divsChild>
            <w:div w:id="915895991">
              <w:marLeft w:val="0"/>
              <w:marRight w:val="0"/>
              <w:marTop w:val="0"/>
              <w:marBottom w:val="0"/>
              <w:divBdr>
                <w:top w:val="none" w:sz="0" w:space="0" w:color="auto"/>
                <w:left w:val="none" w:sz="0" w:space="0" w:color="auto"/>
                <w:bottom w:val="none" w:sz="0" w:space="0" w:color="auto"/>
                <w:right w:val="none" w:sz="0" w:space="0" w:color="auto"/>
              </w:divBdr>
            </w:div>
            <w:div w:id="1815559346">
              <w:marLeft w:val="0"/>
              <w:marRight w:val="0"/>
              <w:marTop w:val="0"/>
              <w:marBottom w:val="0"/>
              <w:divBdr>
                <w:top w:val="none" w:sz="0" w:space="0" w:color="auto"/>
                <w:left w:val="none" w:sz="0" w:space="0" w:color="auto"/>
                <w:bottom w:val="none" w:sz="0" w:space="0" w:color="auto"/>
                <w:right w:val="none" w:sz="0" w:space="0" w:color="auto"/>
              </w:divBdr>
            </w:div>
            <w:div w:id="347097854">
              <w:marLeft w:val="0"/>
              <w:marRight w:val="0"/>
              <w:marTop w:val="0"/>
              <w:marBottom w:val="0"/>
              <w:divBdr>
                <w:top w:val="none" w:sz="0" w:space="0" w:color="auto"/>
                <w:left w:val="none" w:sz="0" w:space="0" w:color="auto"/>
                <w:bottom w:val="none" w:sz="0" w:space="0" w:color="auto"/>
                <w:right w:val="none" w:sz="0" w:space="0" w:color="auto"/>
              </w:divBdr>
            </w:div>
            <w:div w:id="416560211">
              <w:marLeft w:val="0"/>
              <w:marRight w:val="0"/>
              <w:marTop w:val="0"/>
              <w:marBottom w:val="0"/>
              <w:divBdr>
                <w:top w:val="none" w:sz="0" w:space="0" w:color="auto"/>
                <w:left w:val="none" w:sz="0" w:space="0" w:color="auto"/>
                <w:bottom w:val="none" w:sz="0" w:space="0" w:color="auto"/>
                <w:right w:val="none" w:sz="0" w:space="0" w:color="auto"/>
              </w:divBdr>
            </w:div>
            <w:div w:id="1888369650">
              <w:marLeft w:val="0"/>
              <w:marRight w:val="0"/>
              <w:marTop w:val="0"/>
              <w:marBottom w:val="0"/>
              <w:divBdr>
                <w:top w:val="none" w:sz="0" w:space="0" w:color="auto"/>
                <w:left w:val="none" w:sz="0" w:space="0" w:color="auto"/>
                <w:bottom w:val="none" w:sz="0" w:space="0" w:color="auto"/>
                <w:right w:val="none" w:sz="0" w:space="0" w:color="auto"/>
              </w:divBdr>
            </w:div>
            <w:div w:id="1346593983">
              <w:marLeft w:val="0"/>
              <w:marRight w:val="0"/>
              <w:marTop w:val="0"/>
              <w:marBottom w:val="0"/>
              <w:divBdr>
                <w:top w:val="none" w:sz="0" w:space="0" w:color="auto"/>
                <w:left w:val="none" w:sz="0" w:space="0" w:color="auto"/>
                <w:bottom w:val="none" w:sz="0" w:space="0" w:color="auto"/>
                <w:right w:val="none" w:sz="0" w:space="0" w:color="auto"/>
              </w:divBdr>
            </w:div>
          </w:divsChild>
        </w:div>
        <w:div w:id="1424296821">
          <w:marLeft w:val="0"/>
          <w:marRight w:val="0"/>
          <w:marTop w:val="0"/>
          <w:marBottom w:val="0"/>
          <w:divBdr>
            <w:top w:val="none" w:sz="0" w:space="0" w:color="auto"/>
            <w:left w:val="none" w:sz="0" w:space="0" w:color="auto"/>
            <w:bottom w:val="none" w:sz="0" w:space="0" w:color="auto"/>
            <w:right w:val="none" w:sz="0" w:space="0" w:color="auto"/>
          </w:divBdr>
          <w:divsChild>
            <w:div w:id="1264999067">
              <w:marLeft w:val="0"/>
              <w:marRight w:val="0"/>
              <w:marTop w:val="0"/>
              <w:marBottom w:val="0"/>
              <w:divBdr>
                <w:top w:val="none" w:sz="0" w:space="0" w:color="auto"/>
                <w:left w:val="none" w:sz="0" w:space="0" w:color="auto"/>
                <w:bottom w:val="none" w:sz="0" w:space="0" w:color="auto"/>
                <w:right w:val="none" w:sz="0" w:space="0" w:color="auto"/>
              </w:divBdr>
            </w:div>
            <w:div w:id="439883201">
              <w:marLeft w:val="0"/>
              <w:marRight w:val="0"/>
              <w:marTop w:val="0"/>
              <w:marBottom w:val="0"/>
              <w:divBdr>
                <w:top w:val="none" w:sz="0" w:space="0" w:color="auto"/>
                <w:left w:val="none" w:sz="0" w:space="0" w:color="auto"/>
                <w:bottom w:val="none" w:sz="0" w:space="0" w:color="auto"/>
                <w:right w:val="none" w:sz="0" w:space="0" w:color="auto"/>
              </w:divBdr>
            </w:div>
            <w:div w:id="752121712">
              <w:marLeft w:val="0"/>
              <w:marRight w:val="0"/>
              <w:marTop w:val="0"/>
              <w:marBottom w:val="0"/>
              <w:divBdr>
                <w:top w:val="none" w:sz="0" w:space="0" w:color="auto"/>
                <w:left w:val="none" w:sz="0" w:space="0" w:color="auto"/>
                <w:bottom w:val="none" w:sz="0" w:space="0" w:color="auto"/>
                <w:right w:val="none" w:sz="0" w:space="0" w:color="auto"/>
              </w:divBdr>
            </w:div>
            <w:div w:id="865101409">
              <w:marLeft w:val="0"/>
              <w:marRight w:val="0"/>
              <w:marTop w:val="0"/>
              <w:marBottom w:val="0"/>
              <w:divBdr>
                <w:top w:val="none" w:sz="0" w:space="0" w:color="auto"/>
                <w:left w:val="none" w:sz="0" w:space="0" w:color="auto"/>
                <w:bottom w:val="none" w:sz="0" w:space="0" w:color="auto"/>
                <w:right w:val="none" w:sz="0" w:space="0" w:color="auto"/>
              </w:divBdr>
            </w:div>
            <w:div w:id="793406905">
              <w:marLeft w:val="0"/>
              <w:marRight w:val="0"/>
              <w:marTop w:val="0"/>
              <w:marBottom w:val="0"/>
              <w:divBdr>
                <w:top w:val="none" w:sz="0" w:space="0" w:color="auto"/>
                <w:left w:val="none" w:sz="0" w:space="0" w:color="auto"/>
                <w:bottom w:val="none" w:sz="0" w:space="0" w:color="auto"/>
                <w:right w:val="none" w:sz="0" w:space="0" w:color="auto"/>
              </w:divBdr>
            </w:div>
            <w:div w:id="19727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0308">
      <w:bodyDiv w:val="1"/>
      <w:marLeft w:val="0"/>
      <w:marRight w:val="0"/>
      <w:marTop w:val="0"/>
      <w:marBottom w:val="0"/>
      <w:divBdr>
        <w:top w:val="none" w:sz="0" w:space="0" w:color="auto"/>
        <w:left w:val="none" w:sz="0" w:space="0" w:color="auto"/>
        <w:bottom w:val="none" w:sz="0" w:space="0" w:color="auto"/>
        <w:right w:val="none" w:sz="0" w:space="0" w:color="auto"/>
      </w:divBdr>
    </w:div>
    <w:div w:id="1009479693">
      <w:bodyDiv w:val="1"/>
      <w:marLeft w:val="0"/>
      <w:marRight w:val="0"/>
      <w:marTop w:val="0"/>
      <w:marBottom w:val="0"/>
      <w:divBdr>
        <w:top w:val="none" w:sz="0" w:space="0" w:color="auto"/>
        <w:left w:val="none" w:sz="0" w:space="0" w:color="auto"/>
        <w:bottom w:val="none" w:sz="0" w:space="0" w:color="auto"/>
        <w:right w:val="none" w:sz="0" w:space="0" w:color="auto"/>
      </w:divBdr>
    </w:div>
    <w:div w:id="1026836274">
      <w:bodyDiv w:val="1"/>
      <w:marLeft w:val="0"/>
      <w:marRight w:val="0"/>
      <w:marTop w:val="0"/>
      <w:marBottom w:val="0"/>
      <w:divBdr>
        <w:top w:val="none" w:sz="0" w:space="0" w:color="auto"/>
        <w:left w:val="none" w:sz="0" w:space="0" w:color="auto"/>
        <w:bottom w:val="none" w:sz="0" w:space="0" w:color="auto"/>
        <w:right w:val="none" w:sz="0" w:space="0" w:color="auto"/>
      </w:divBdr>
    </w:div>
    <w:div w:id="1059325538">
      <w:bodyDiv w:val="1"/>
      <w:marLeft w:val="0"/>
      <w:marRight w:val="0"/>
      <w:marTop w:val="0"/>
      <w:marBottom w:val="0"/>
      <w:divBdr>
        <w:top w:val="none" w:sz="0" w:space="0" w:color="auto"/>
        <w:left w:val="none" w:sz="0" w:space="0" w:color="auto"/>
        <w:bottom w:val="none" w:sz="0" w:space="0" w:color="auto"/>
        <w:right w:val="none" w:sz="0" w:space="0" w:color="auto"/>
      </w:divBdr>
    </w:div>
    <w:div w:id="1096441998">
      <w:bodyDiv w:val="1"/>
      <w:marLeft w:val="0"/>
      <w:marRight w:val="0"/>
      <w:marTop w:val="0"/>
      <w:marBottom w:val="0"/>
      <w:divBdr>
        <w:top w:val="none" w:sz="0" w:space="0" w:color="auto"/>
        <w:left w:val="none" w:sz="0" w:space="0" w:color="auto"/>
        <w:bottom w:val="none" w:sz="0" w:space="0" w:color="auto"/>
        <w:right w:val="none" w:sz="0" w:space="0" w:color="auto"/>
      </w:divBdr>
    </w:div>
    <w:div w:id="1140926256">
      <w:bodyDiv w:val="1"/>
      <w:marLeft w:val="0"/>
      <w:marRight w:val="0"/>
      <w:marTop w:val="0"/>
      <w:marBottom w:val="0"/>
      <w:divBdr>
        <w:top w:val="none" w:sz="0" w:space="0" w:color="auto"/>
        <w:left w:val="none" w:sz="0" w:space="0" w:color="auto"/>
        <w:bottom w:val="none" w:sz="0" w:space="0" w:color="auto"/>
        <w:right w:val="none" w:sz="0" w:space="0" w:color="auto"/>
      </w:divBdr>
    </w:div>
    <w:div w:id="1166435674">
      <w:bodyDiv w:val="1"/>
      <w:marLeft w:val="0"/>
      <w:marRight w:val="0"/>
      <w:marTop w:val="0"/>
      <w:marBottom w:val="0"/>
      <w:divBdr>
        <w:top w:val="none" w:sz="0" w:space="0" w:color="auto"/>
        <w:left w:val="none" w:sz="0" w:space="0" w:color="auto"/>
        <w:bottom w:val="none" w:sz="0" w:space="0" w:color="auto"/>
        <w:right w:val="none" w:sz="0" w:space="0" w:color="auto"/>
      </w:divBdr>
    </w:div>
    <w:div w:id="1184048846">
      <w:bodyDiv w:val="1"/>
      <w:marLeft w:val="0"/>
      <w:marRight w:val="0"/>
      <w:marTop w:val="0"/>
      <w:marBottom w:val="0"/>
      <w:divBdr>
        <w:top w:val="none" w:sz="0" w:space="0" w:color="auto"/>
        <w:left w:val="none" w:sz="0" w:space="0" w:color="auto"/>
        <w:bottom w:val="none" w:sz="0" w:space="0" w:color="auto"/>
        <w:right w:val="none" w:sz="0" w:space="0" w:color="auto"/>
      </w:divBdr>
    </w:div>
    <w:div w:id="1191187474">
      <w:bodyDiv w:val="1"/>
      <w:marLeft w:val="0"/>
      <w:marRight w:val="0"/>
      <w:marTop w:val="0"/>
      <w:marBottom w:val="0"/>
      <w:divBdr>
        <w:top w:val="none" w:sz="0" w:space="0" w:color="auto"/>
        <w:left w:val="none" w:sz="0" w:space="0" w:color="auto"/>
        <w:bottom w:val="none" w:sz="0" w:space="0" w:color="auto"/>
        <w:right w:val="none" w:sz="0" w:space="0" w:color="auto"/>
      </w:divBdr>
    </w:div>
    <w:div w:id="1195071758">
      <w:bodyDiv w:val="1"/>
      <w:marLeft w:val="0"/>
      <w:marRight w:val="0"/>
      <w:marTop w:val="0"/>
      <w:marBottom w:val="0"/>
      <w:divBdr>
        <w:top w:val="none" w:sz="0" w:space="0" w:color="auto"/>
        <w:left w:val="none" w:sz="0" w:space="0" w:color="auto"/>
        <w:bottom w:val="none" w:sz="0" w:space="0" w:color="auto"/>
        <w:right w:val="none" w:sz="0" w:space="0" w:color="auto"/>
      </w:divBdr>
    </w:div>
    <w:div w:id="1227908982">
      <w:bodyDiv w:val="1"/>
      <w:marLeft w:val="0"/>
      <w:marRight w:val="0"/>
      <w:marTop w:val="0"/>
      <w:marBottom w:val="0"/>
      <w:divBdr>
        <w:top w:val="none" w:sz="0" w:space="0" w:color="auto"/>
        <w:left w:val="none" w:sz="0" w:space="0" w:color="auto"/>
        <w:bottom w:val="none" w:sz="0" w:space="0" w:color="auto"/>
        <w:right w:val="none" w:sz="0" w:space="0" w:color="auto"/>
      </w:divBdr>
    </w:div>
    <w:div w:id="1230725818">
      <w:bodyDiv w:val="1"/>
      <w:marLeft w:val="0"/>
      <w:marRight w:val="0"/>
      <w:marTop w:val="0"/>
      <w:marBottom w:val="0"/>
      <w:divBdr>
        <w:top w:val="none" w:sz="0" w:space="0" w:color="auto"/>
        <w:left w:val="none" w:sz="0" w:space="0" w:color="auto"/>
        <w:bottom w:val="none" w:sz="0" w:space="0" w:color="auto"/>
        <w:right w:val="none" w:sz="0" w:space="0" w:color="auto"/>
      </w:divBdr>
    </w:div>
    <w:div w:id="1237009883">
      <w:bodyDiv w:val="1"/>
      <w:marLeft w:val="0"/>
      <w:marRight w:val="0"/>
      <w:marTop w:val="0"/>
      <w:marBottom w:val="0"/>
      <w:divBdr>
        <w:top w:val="none" w:sz="0" w:space="0" w:color="auto"/>
        <w:left w:val="none" w:sz="0" w:space="0" w:color="auto"/>
        <w:bottom w:val="none" w:sz="0" w:space="0" w:color="auto"/>
        <w:right w:val="none" w:sz="0" w:space="0" w:color="auto"/>
      </w:divBdr>
    </w:div>
    <w:div w:id="1248416806">
      <w:bodyDiv w:val="1"/>
      <w:marLeft w:val="0"/>
      <w:marRight w:val="0"/>
      <w:marTop w:val="0"/>
      <w:marBottom w:val="0"/>
      <w:divBdr>
        <w:top w:val="none" w:sz="0" w:space="0" w:color="auto"/>
        <w:left w:val="none" w:sz="0" w:space="0" w:color="auto"/>
        <w:bottom w:val="none" w:sz="0" w:space="0" w:color="auto"/>
        <w:right w:val="none" w:sz="0" w:space="0" w:color="auto"/>
      </w:divBdr>
    </w:div>
    <w:div w:id="1296988997">
      <w:bodyDiv w:val="1"/>
      <w:marLeft w:val="0"/>
      <w:marRight w:val="0"/>
      <w:marTop w:val="0"/>
      <w:marBottom w:val="0"/>
      <w:divBdr>
        <w:top w:val="none" w:sz="0" w:space="0" w:color="auto"/>
        <w:left w:val="none" w:sz="0" w:space="0" w:color="auto"/>
        <w:bottom w:val="none" w:sz="0" w:space="0" w:color="auto"/>
        <w:right w:val="none" w:sz="0" w:space="0" w:color="auto"/>
      </w:divBdr>
    </w:div>
    <w:div w:id="1333988758">
      <w:bodyDiv w:val="1"/>
      <w:marLeft w:val="0"/>
      <w:marRight w:val="0"/>
      <w:marTop w:val="0"/>
      <w:marBottom w:val="0"/>
      <w:divBdr>
        <w:top w:val="none" w:sz="0" w:space="0" w:color="auto"/>
        <w:left w:val="none" w:sz="0" w:space="0" w:color="auto"/>
        <w:bottom w:val="none" w:sz="0" w:space="0" w:color="auto"/>
        <w:right w:val="none" w:sz="0" w:space="0" w:color="auto"/>
      </w:divBdr>
    </w:div>
    <w:div w:id="1438215757">
      <w:bodyDiv w:val="1"/>
      <w:marLeft w:val="0"/>
      <w:marRight w:val="0"/>
      <w:marTop w:val="0"/>
      <w:marBottom w:val="0"/>
      <w:divBdr>
        <w:top w:val="none" w:sz="0" w:space="0" w:color="auto"/>
        <w:left w:val="none" w:sz="0" w:space="0" w:color="auto"/>
        <w:bottom w:val="none" w:sz="0" w:space="0" w:color="auto"/>
        <w:right w:val="none" w:sz="0" w:space="0" w:color="auto"/>
      </w:divBdr>
    </w:div>
    <w:div w:id="1479148380">
      <w:bodyDiv w:val="1"/>
      <w:marLeft w:val="0"/>
      <w:marRight w:val="0"/>
      <w:marTop w:val="0"/>
      <w:marBottom w:val="0"/>
      <w:divBdr>
        <w:top w:val="none" w:sz="0" w:space="0" w:color="auto"/>
        <w:left w:val="none" w:sz="0" w:space="0" w:color="auto"/>
        <w:bottom w:val="none" w:sz="0" w:space="0" w:color="auto"/>
        <w:right w:val="none" w:sz="0" w:space="0" w:color="auto"/>
      </w:divBdr>
    </w:div>
    <w:div w:id="1500192946">
      <w:bodyDiv w:val="1"/>
      <w:marLeft w:val="0"/>
      <w:marRight w:val="0"/>
      <w:marTop w:val="0"/>
      <w:marBottom w:val="0"/>
      <w:divBdr>
        <w:top w:val="none" w:sz="0" w:space="0" w:color="auto"/>
        <w:left w:val="none" w:sz="0" w:space="0" w:color="auto"/>
        <w:bottom w:val="none" w:sz="0" w:space="0" w:color="auto"/>
        <w:right w:val="none" w:sz="0" w:space="0" w:color="auto"/>
      </w:divBdr>
    </w:div>
    <w:div w:id="1635208136">
      <w:bodyDiv w:val="1"/>
      <w:marLeft w:val="0"/>
      <w:marRight w:val="0"/>
      <w:marTop w:val="0"/>
      <w:marBottom w:val="0"/>
      <w:divBdr>
        <w:top w:val="none" w:sz="0" w:space="0" w:color="auto"/>
        <w:left w:val="none" w:sz="0" w:space="0" w:color="auto"/>
        <w:bottom w:val="none" w:sz="0" w:space="0" w:color="auto"/>
        <w:right w:val="none" w:sz="0" w:space="0" w:color="auto"/>
      </w:divBdr>
    </w:div>
    <w:div w:id="1644044995">
      <w:bodyDiv w:val="1"/>
      <w:marLeft w:val="0"/>
      <w:marRight w:val="0"/>
      <w:marTop w:val="0"/>
      <w:marBottom w:val="0"/>
      <w:divBdr>
        <w:top w:val="none" w:sz="0" w:space="0" w:color="auto"/>
        <w:left w:val="none" w:sz="0" w:space="0" w:color="auto"/>
        <w:bottom w:val="none" w:sz="0" w:space="0" w:color="auto"/>
        <w:right w:val="none" w:sz="0" w:space="0" w:color="auto"/>
      </w:divBdr>
    </w:div>
    <w:div w:id="1733193036">
      <w:bodyDiv w:val="1"/>
      <w:marLeft w:val="0"/>
      <w:marRight w:val="0"/>
      <w:marTop w:val="0"/>
      <w:marBottom w:val="0"/>
      <w:divBdr>
        <w:top w:val="none" w:sz="0" w:space="0" w:color="auto"/>
        <w:left w:val="none" w:sz="0" w:space="0" w:color="auto"/>
        <w:bottom w:val="none" w:sz="0" w:space="0" w:color="auto"/>
        <w:right w:val="none" w:sz="0" w:space="0" w:color="auto"/>
      </w:divBdr>
    </w:div>
    <w:div w:id="1755664504">
      <w:bodyDiv w:val="1"/>
      <w:marLeft w:val="0"/>
      <w:marRight w:val="0"/>
      <w:marTop w:val="0"/>
      <w:marBottom w:val="0"/>
      <w:divBdr>
        <w:top w:val="none" w:sz="0" w:space="0" w:color="auto"/>
        <w:left w:val="none" w:sz="0" w:space="0" w:color="auto"/>
        <w:bottom w:val="none" w:sz="0" w:space="0" w:color="auto"/>
        <w:right w:val="none" w:sz="0" w:space="0" w:color="auto"/>
      </w:divBdr>
    </w:div>
    <w:div w:id="1785804019">
      <w:bodyDiv w:val="1"/>
      <w:marLeft w:val="0"/>
      <w:marRight w:val="0"/>
      <w:marTop w:val="0"/>
      <w:marBottom w:val="0"/>
      <w:divBdr>
        <w:top w:val="none" w:sz="0" w:space="0" w:color="auto"/>
        <w:left w:val="none" w:sz="0" w:space="0" w:color="auto"/>
        <w:bottom w:val="none" w:sz="0" w:space="0" w:color="auto"/>
        <w:right w:val="none" w:sz="0" w:space="0" w:color="auto"/>
      </w:divBdr>
    </w:div>
    <w:div w:id="1807314753">
      <w:bodyDiv w:val="1"/>
      <w:marLeft w:val="0"/>
      <w:marRight w:val="0"/>
      <w:marTop w:val="0"/>
      <w:marBottom w:val="0"/>
      <w:divBdr>
        <w:top w:val="none" w:sz="0" w:space="0" w:color="auto"/>
        <w:left w:val="none" w:sz="0" w:space="0" w:color="auto"/>
        <w:bottom w:val="none" w:sz="0" w:space="0" w:color="auto"/>
        <w:right w:val="none" w:sz="0" w:space="0" w:color="auto"/>
      </w:divBdr>
    </w:div>
    <w:div w:id="191623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ala.hameed@foreign.gov.mv" TargetMode="External"/><Relationship Id="rId21" Type="http://schemas.openxmlformats.org/officeDocument/2006/relationships/hyperlink" Target="mailto:psassarao@unicef.org" TargetMode="External"/><Relationship Id="rId42" Type="http://schemas.openxmlformats.org/officeDocument/2006/relationships/hyperlink" Target="mailto:secretariat.maci@gmail.com" TargetMode="External"/><Relationship Id="rId47" Type="http://schemas.openxmlformats.org/officeDocument/2006/relationships/hyperlink" Target="mailto:vyusuf@isdb.org" TargetMode="External"/><Relationship Id="rId63" Type="http://schemas.openxmlformats.org/officeDocument/2006/relationships/hyperlink" Target="mailto:aysha.solih@undp.org" TargetMode="External"/><Relationship Id="rId68" Type="http://schemas.openxmlformats.org/officeDocument/2006/relationships/image" Target="media/image5.emf"/><Relationship Id="rId71" Type="http://schemas.openxmlformats.org/officeDocument/2006/relationships/image" Target="media/image8.emf"/><Relationship Id="rId29" Type="http://schemas.openxmlformats.org/officeDocument/2006/relationships/hyperlink" Target="mailto:idham.hussain@mma.gov.mv" TargetMode="External"/><Relationship Id="rId16" Type="http://schemas.openxmlformats.org/officeDocument/2006/relationships/hyperlink" Target="mailto:catherine.haswell@un.org" TargetMode="External"/><Relationship Id="rId11" Type="http://schemas.openxmlformats.org/officeDocument/2006/relationships/styles" Target="styles.xml"/><Relationship Id="rId24" Type="http://schemas.openxmlformats.org/officeDocument/2006/relationships/hyperlink" Target="mailto:ismail.alimanik@finance.gov.mv" TargetMode="External"/><Relationship Id="rId32" Type="http://schemas.openxmlformats.org/officeDocument/2006/relationships/hyperlink" Target="mailto:khadeeja.naseem@environment.gov.mv" TargetMode="External"/><Relationship Id="rId37" Type="http://schemas.openxmlformats.org/officeDocument/2006/relationships/hyperlink" Target="mailto:sujatha.haleem@pension.gov.mv" TargetMode="External"/><Relationship Id="rId40" Type="http://schemas.openxmlformats.org/officeDocument/2006/relationships/hyperlink" Target="mailto:mati@dhivehinet.net.mv" TargetMode="External"/><Relationship Id="rId45" Type="http://schemas.openxmlformats.org/officeDocument/2006/relationships/hyperlink" Target="mailto:wcole@worldbank.org" TargetMode="External"/><Relationship Id="rId53" Type="http://schemas.openxmlformats.org/officeDocument/2006/relationships/diagramData" Target="diagrams/data1.xml"/><Relationship Id="rId58" Type="http://schemas.openxmlformats.org/officeDocument/2006/relationships/image" Target="media/image3.png"/><Relationship Id="rId66" Type="http://schemas.openxmlformats.org/officeDocument/2006/relationships/hyperlink" Target="mailto:ibrahim@unfpa.org" TargetMode="External"/><Relationship Id="rId5" Type="http://schemas.openxmlformats.org/officeDocument/2006/relationships/customXml" Target="../customXml/item5.xml"/><Relationship Id="rId61" Type="http://schemas.openxmlformats.org/officeDocument/2006/relationships/footer" Target="footer1.xml"/><Relationship Id="rId19" Type="http://schemas.openxmlformats.org/officeDocument/2006/relationships/hyperlink" Target="mailto:mariyam.manarath@finance.gov.mv" TargetMode="External"/><Relationship Id="rId14" Type="http://schemas.openxmlformats.org/officeDocument/2006/relationships/footnotes" Target="footnotes.xml"/><Relationship Id="rId22" Type="http://schemas.openxmlformats.org/officeDocument/2006/relationships/hyperlink" Target="mailto:ibrahim@unfpa.org" TargetMode="External"/><Relationship Id="rId27" Type="http://schemas.openxmlformats.org/officeDocument/2006/relationships/hyperlink" Target="mailto:mp.mohamed.nashiz@majlis.gov.mv" TargetMode="External"/><Relationship Id="rId30" Type="http://schemas.openxmlformats.org/officeDocument/2006/relationships/hyperlink" Target="mailto:aishath.shahudha@stats.gov.mv" TargetMode="External"/><Relationship Id="rId35" Type="http://schemas.openxmlformats.org/officeDocument/2006/relationships/hyperlink" Target="mailto:khadeeja.adam@mohe.gov.mv" TargetMode="External"/><Relationship Id="rId43" Type="http://schemas.openxmlformats.org/officeDocument/2006/relationships/hyperlink" Target="mailto:hassan.manik@mfmc.org" TargetMode="External"/><Relationship Id="rId48" Type="http://schemas.openxmlformats.org/officeDocument/2006/relationships/hyperlink" Target="mailto:goranssono@un.org" TargetMode="External"/><Relationship Id="rId56" Type="http://schemas.openxmlformats.org/officeDocument/2006/relationships/diagramColors" Target="diagrams/colors1.xml"/><Relationship Id="rId64" Type="http://schemas.openxmlformats.org/officeDocument/2006/relationships/hyperlink" Target="mailto:ibrahim@unfpa.org" TargetMode="External"/><Relationship Id="rId69" Type="http://schemas.openxmlformats.org/officeDocument/2006/relationships/image" Target="media/image6.emf"/><Relationship Id="rId8" Type="http://schemas.openxmlformats.org/officeDocument/2006/relationships/customXml" Target="../customXml/item8.xml"/><Relationship Id="rId51" Type="http://schemas.openxmlformats.org/officeDocument/2006/relationships/image" Target="media/image1.png"/><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mailto:aminath.shaliny@un.org" TargetMode="External"/><Relationship Id="rId25" Type="http://schemas.openxmlformats.org/officeDocument/2006/relationships/hyperlink" Target="mailto:fathimath.niuma@planning.gov.mv" TargetMode="External"/><Relationship Id="rId33" Type="http://schemas.openxmlformats.org/officeDocument/2006/relationships/hyperlink" Target="mailto:mouniabdullah@health.gov.mv" TargetMode="External"/><Relationship Id="rId38" Type="http://schemas.openxmlformats.org/officeDocument/2006/relationships/hyperlink" Target="mailto:f.kamaludeen@cmda.gov.mv" TargetMode="External"/><Relationship Id="rId46" Type="http://schemas.openxmlformats.org/officeDocument/2006/relationships/hyperlink" Target="mailto:jvarma@adb.org" TargetMode="External"/><Relationship Id="rId59" Type="http://schemas.openxmlformats.org/officeDocument/2006/relationships/hyperlink" Target="http://www.uneval.org/document/detail/1620" TargetMode="External"/><Relationship Id="rId67" Type="http://schemas.openxmlformats.org/officeDocument/2006/relationships/hyperlink" Target="mailto:wcole@worldbank.org" TargetMode="External"/><Relationship Id="rId20" Type="http://schemas.openxmlformats.org/officeDocument/2006/relationships/hyperlink" Target="mailto:vera.hakim@undp.org" TargetMode="External"/><Relationship Id="rId41" Type="http://schemas.openxmlformats.org/officeDocument/2006/relationships/hyperlink" Target="mailto:usha@matato.org" TargetMode="External"/><Relationship Id="rId54" Type="http://schemas.openxmlformats.org/officeDocument/2006/relationships/diagramLayout" Target="diagrams/layout1.xml"/><Relationship Id="rId62" Type="http://schemas.openxmlformats.org/officeDocument/2006/relationships/hyperlink" Target="mailto:mohamed.shahudh@undp.org" TargetMode="External"/><Relationship Id="rId7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yperlink" Target="mailto:anwarna@who.int" TargetMode="External"/><Relationship Id="rId28" Type="http://schemas.openxmlformats.org/officeDocument/2006/relationships/hyperlink" Target="mailto:solih@audit.gov.mv" TargetMode="External"/><Relationship Id="rId36" Type="http://schemas.openxmlformats.org/officeDocument/2006/relationships/hyperlink" Target="mailto:yumna@gender.gov.mv" TargetMode="External"/><Relationship Id="rId49" Type="http://schemas.openxmlformats.org/officeDocument/2006/relationships/hyperlink" Target="mailto:bakhtnia@un.org" TargetMode="External"/><Relationship Id="rId57" Type="http://schemas.microsoft.com/office/2007/relationships/diagramDrawing" Target="diagrams/drawing1.xml"/><Relationship Id="rId10" Type="http://schemas.openxmlformats.org/officeDocument/2006/relationships/numbering" Target="numbering.xml"/><Relationship Id="rId31" Type="http://schemas.openxmlformats.org/officeDocument/2006/relationships/hyperlink" Target="mailto:shuhad.ibrahim@trade.gov.mv" TargetMode="External"/><Relationship Id="rId44" Type="http://schemas.openxmlformats.org/officeDocument/2006/relationships/hyperlink" Target="mailto:ghaly.murthala@mortezacapital.com" TargetMode="External"/><Relationship Id="rId52" Type="http://schemas.openxmlformats.org/officeDocument/2006/relationships/image" Target="media/image2.png"/><Relationship Id="rId60" Type="http://schemas.openxmlformats.org/officeDocument/2006/relationships/header" Target="header1.xml"/><Relationship Id="rId65" Type="http://schemas.openxmlformats.org/officeDocument/2006/relationships/hyperlink" Target="mailto:ibrahim@unfpa.org" TargetMode="External"/><Relationship Id="rId73" Type="http://schemas.openxmlformats.org/officeDocument/2006/relationships/theme" Target="theme/theme1.xml"/><Relationship Id="rId4" Type="http://schemas.openxmlformats.org/officeDocument/2006/relationships/customXml" Target="../customXml/item4.xml"/><Relationship Id="rId13" Type="http://schemas.openxmlformats.org/officeDocument/2006/relationships/webSettings" Target="webSettings.xml"/><Relationship Id="rId18" Type="http://schemas.openxmlformats.org/officeDocument/2006/relationships/hyperlink" Target="mailto:vera.hakim@undp.org" TargetMode="External"/><Relationship Id="rId39" Type="http://schemas.openxmlformats.org/officeDocument/2006/relationships/hyperlink" Target="mailto:mujah.muneer@mfmc.mv" TargetMode="External"/><Relationship Id="rId34" Type="http://schemas.openxmlformats.org/officeDocument/2006/relationships/hyperlink" Target="mailto:azza@moe.gov.mv" TargetMode="External"/><Relationship Id="rId50" Type="http://schemas.openxmlformats.org/officeDocument/2006/relationships/hyperlink" Target="mailto:nriza@usaid.gov" TargetMode="External"/><Relationship Id="rId55"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2" Type="http://schemas.openxmlformats.org/officeDocument/2006/relationships/hyperlink" Target="http://www.unwomen.org/en/digital-library/publications/2015/4/un-women-evaluation-handbook-how-to-manage-gender-responsive-evaluation" TargetMode="External"/><Relationship Id="rId1" Type="http://schemas.openxmlformats.org/officeDocument/2006/relationships/hyperlink" Target="https://www.adb.org/sites/default/files/publication/571536/adb-brief-128-economic-impact-covid19-developing-as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F83AF9-ED11-4518-A241-1643F6DA8DE5}"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GB"/>
        </a:p>
      </dgm:t>
    </dgm:pt>
    <dgm:pt modelId="{A891D92E-0B8C-4F22-8158-369F984B5B57}">
      <dgm:prSet phldrT="[Text]"/>
      <dgm:spPr>
        <a:solidFill>
          <a:srgbClr val="009963"/>
        </a:solidFill>
      </dgm:spPr>
      <dgm:t>
        <a:bodyPr/>
        <a:lstStyle/>
        <a:p>
          <a:r>
            <a:rPr lang="en-GB" dirty="0"/>
            <a:t>DFA/INFF inception phase (Ongoing ~6-9 months)</a:t>
          </a:r>
        </a:p>
      </dgm:t>
    </dgm:pt>
    <dgm:pt modelId="{921462CB-E5C3-4BE5-A47F-7E150E4CC646}" type="parTrans" cxnId="{DF0908FB-6F8C-4239-8C41-BB8471579133}">
      <dgm:prSet/>
      <dgm:spPr/>
      <dgm:t>
        <a:bodyPr/>
        <a:lstStyle/>
        <a:p>
          <a:endParaRPr lang="en-GB"/>
        </a:p>
      </dgm:t>
    </dgm:pt>
    <dgm:pt modelId="{4477AA29-9ADB-4EE2-96ED-7069A52AFBE6}" type="sibTrans" cxnId="{DF0908FB-6F8C-4239-8C41-BB8471579133}">
      <dgm:prSet/>
      <dgm:spPr/>
      <dgm:t>
        <a:bodyPr/>
        <a:lstStyle/>
        <a:p>
          <a:endParaRPr lang="en-GB"/>
        </a:p>
      </dgm:t>
    </dgm:pt>
    <dgm:pt modelId="{E15FD02D-12F4-4D5C-A1CC-94244139E9C9}">
      <dgm:prSet phldrT="[Text]"/>
      <dgm:spPr>
        <a:noFill/>
        <a:ln>
          <a:solidFill>
            <a:srgbClr val="12A16E"/>
          </a:solidFill>
        </a:ln>
      </dgm:spPr>
      <dgm:t>
        <a:bodyPr/>
        <a:lstStyle/>
        <a:p>
          <a:r>
            <a:rPr lang="en-GB" dirty="0"/>
            <a:t>- DFA scoping mission (February 2020)</a:t>
          </a:r>
        </a:p>
      </dgm:t>
    </dgm:pt>
    <dgm:pt modelId="{FE108B9F-BF56-4EDC-9A99-DD6BD6FBF637}" type="parTrans" cxnId="{9546D289-10A1-4DA4-A748-A6AE57AA0A30}">
      <dgm:prSet/>
      <dgm:spPr/>
      <dgm:t>
        <a:bodyPr/>
        <a:lstStyle/>
        <a:p>
          <a:endParaRPr lang="en-GB"/>
        </a:p>
      </dgm:t>
    </dgm:pt>
    <dgm:pt modelId="{F31AA4BB-CBAE-4EB2-B9EE-09095BFA3BB6}" type="sibTrans" cxnId="{9546D289-10A1-4DA4-A748-A6AE57AA0A30}">
      <dgm:prSet/>
      <dgm:spPr/>
      <dgm:t>
        <a:bodyPr/>
        <a:lstStyle/>
        <a:p>
          <a:endParaRPr lang="en-GB"/>
        </a:p>
      </dgm:t>
    </dgm:pt>
    <dgm:pt modelId="{59918470-1D8E-4379-96D2-7A2B2FC182D7}">
      <dgm:prSet phldrT="[Text]"/>
      <dgm:spPr>
        <a:solidFill>
          <a:srgbClr val="009963"/>
        </a:solidFill>
      </dgm:spPr>
      <dgm:t>
        <a:bodyPr/>
        <a:lstStyle/>
        <a:p>
          <a:r>
            <a:rPr lang="en-GB" dirty="0"/>
            <a:t>INFF operational</a:t>
          </a:r>
        </a:p>
      </dgm:t>
    </dgm:pt>
    <dgm:pt modelId="{52005ABF-9DB6-46BD-B73D-743FE7A82A4B}" type="parTrans" cxnId="{C4212926-C3B0-4D73-A2A9-832548FA6F16}">
      <dgm:prSet/>
      <dgm:spPr/>
      <dgm:t>
        <a:bodyPr/>
        <a:lstStyle/>
        <a:p>
          <a:endParaRPr lang="en-GB"/>
        </a:p>
      </dgm:t>
    </dgm:pt>
    <dgm:pt modelId="{AD75772A-D07C-4A13-BCDE-D4AA6EEED452}" type="sibTrans" cxnId="{C4212926-C3B0-4D73-A2A9-832548FA6F16}">
      <dgm:prSet/>
      <dgm:spPr/>
      <dgm:t>
        <a:bodyPr/>
        <a:lstStyle/>
        <a:p>
          <a:endParaRPr lang="en-GB"/>
        </a:p>
      </dgm:t>
    </dgm:pt>
    <dgm:pt modelId="{FF0A591B-5F6E-4A59-A725-B96ACAB956F9}">
      <dgm:prSet phldrT="[Text]"/>
      <dgm:spPr>
        <a:solidFill>
          <a:schemeClr val="bg2"/>
        </a:solidFill>
        <a:ln>
          <a:solidFill>
            <a:srgbClr val="12A16E"/>
          </a:solidFill>
        </a:ln>
      </dgm:spPr>
      <dgm:t>
        <a:bodyPr/>
        <a:lstStyle/>
        <a:p>
          <a:pPr>
            <a:buFont typeface="Arial" panose="020B0604020202020204" pitchFamily="34" charset="0"/>
            <a:buNone/>
          </a:pPr>
          <a:r>
            <a:rPr lang="en-GB" dirty="0"/>
            <a:t>- Implement National Integrated Financing Strategy to support delivery of SAP and the SDGs</a:t>
          </a:r>
        </a:p>
      </dgm:t>
    </dgm:pt>
    <dgm:pt modelId="{C93DCD69-5489-4336-A025-A64B81E0A01C}" type="parTrans" cxnId="{1C95017E-6945-4178-A09A-B9CF478AC4D8}">
      <dgm:prSet/>
      <dgm:spPr/>
      <dgm:t>
        <a:bodyPr/>
        <a:lstStyle/>
        <a:p>
          <a:endParaRPr lang="en-GB"/>
        </a:p>
      </dgm:t>
    </dgm:pt>
    <dgm:pt modelId="{52415A2F-1A53-4A8D-A1B9-F92688B0E076}" type="sibTrans" cxnId="{1C95017E-6945-4178-A09A-B9CF478AC4D8}">
      <dgm:prSet/>
      <dgm:spPr/>
      <dgm:t>
        <a:bodyPr/>
        <a:lstStyle/>
        <a:p>
          <a:endParaRPr lang="en-GB"/>
        </a:p>
      </dgm:t>
    </dgm:pt>
    <dgm:pt modelId="{A10C2E98-9CB3-4D13-B051-49082AF2ED43}">
      <dgm:prSet phldrT="[Text]"/>
      <dgm:spPr>
        <a:solidFill>
          <a:srgbClr val="009963"/>
        </a:solidFill>
      </dgm:spPr>
      <dgm:t>
        <a:bodyPr/>
        <a:lstStyle/>
        <a:p>
          <a:r>
            <a:rPr lang="en-GB" dirty="0"/>
            <a:t>INFF set-up phase (~1 year)</a:t>
          </a:r>
        </a:p>
      </dgm:t>
    </dgm:pt>
    <dgm:pt modelId="{5E3B02B8-4522-4643-A2B8-9B176290FA9C}" type="parTrans" cxnId="{F5D20623-AB4B-4093-ACA3-B271EAE5AA53}">
      <dgm:prSet/>
      <dgm:spPr/>
      <dgm:t>
        <a:bodyPr/>
        <a:lstStyle/>
        <a:p>
          <a:endParaRPr lang="en-GB"/>
        </a:p>
      </dgm:t>
    </dgm:pt>
    <dgm:pt modelId="{3ED863F2-0BB0-4BEE-A236-8DE94905E81A}" type="sibTrans" cxnId="{F5D20623-AB4B-4093-ACA3-B271EAE5AA53}">
      <dgm:prSet/>
      <dgm:spPr/>
      <dgm:t>
        <a:bodyPr/>
        <a:lstStyle/>
        <a:p>
          <a:endParaRPr lang="en-GB"/>
        </a:p>
      </dgm:t>
    </dgm:pt>
    <dgm:pt modelId="{E3D52A89-81FE-475C-BD88-5E1AA1E05AC9}">
      <dgm:prSet phldrT="[Text]"/>
      <dgm:spPr>
        <a:solidFill>
          <a:schemeClr val="bg2"/>
        </a:solidFill>
        <a:ln>
          <a:solidFill>
            <a:srgbClr val="12A16E"/>
          </a:solidFill>
        </a:ln>
      </dgm:spPr>
      <dgm:t>
        <a:bodyPr/>
        <a:lstStyle/>
        <a:p>
          <a:pPr>
            <a:buFont typeface="Arial" panose="020B0604020202020204" pitchFamily="34" charset="0"/>
            <a:buChar char="•"/>
          </a:pPr>
          <a:r>
            <a:rPr lang="en-GB" dirty="0"/>
            <a:t>- INFF roadmap launched by oversight team</a:t>
          </a:r>
        </a:p>
        <a:p>
          <a:pPr>
            <a:buFont typeface="Arial" panose="020B0604020202020204" pitchFamily="34" charset="0"/>
            <a:buChar char="•"/>
          </a:pPr>
          <a:r>
            <a:rPr lang="en-GB" dirty="0"/>
            <a:t>- INFF Oversight Committee consolidated</a:t>
          </a:r>
        </a:p>
      </dgm:t>
    </dgm:pt>
    <dgm:pt modelId="{1C8C10C5-B028-43BF-A995-E17B4E921058}" type="parTrans" cxnId="{8DF2C1AF-C9B2-40CD-A159-1E01CD1B98B1}">
      <dgm:prSet/>
      <dgm:spPr/>
      <dgm:t>
        <a:bodyPr/>
        <a:lstStyle/>
        <a:p>
          <a:endParaRPr lang="en-GB"/>
        </a:p>
      </dgm:t>
    </dgm:pt>
    <dgm:pt modelId="{11890947-F86D-4E6B-83ED-811B89CA94E3}" type="sibTrans" cxnId="{8DF2C1AF-C9B2-40CD-A159-1E01CD1B98B1}">
      <dgm:prSet/>
      <dgm:spPr/>
      <dgm:t>
        <a:bodyPr/>
        <a:lstStyle/>
        <a:p>
          <a:endParaRPr lang="en-GB"/>
        </a:p>
      </dgm:t>
    </dgm:pt>
    <dgm:pt modelId="{1538C367-517E-BF4A-96A5-741AFFD39EE9}">
      <dgm:prSet/>
      <dgm:spPr>
        <a:noFill/>
        <a:ln>
          <a:solidFill>
            <a:srgbClr val="12A16E"/>
          </a:solidFill>
        </a:ln>
      </dgm:spPr>
      <dgm:t>
        <a:bodyPr/>
        <a:lstStyle/>
        <a:p>
          <a:r>
            <a:rPr lang="en-GB" dirty="0"/>
            <a:t>- DFA financing dialogues</a:t>
          </a:r>
        </a:p>
      </dgm:t>
    </dgm:pt>
    <dgm:pt modelId="{571E5E4C-9C06-7C46-8AB7-AC5656FFBAF8}" type="parTrans" cxnId="{43FE0AC7-77A9-884B-99FF-29D368C9A5AE}">
      <dgm:prSet/>
      <dgm:spPr/>
      <dgm:t>
        <a:bodyPr/>
        <a:lstStyle/>
        <a:p>
          <a:endParaRPr lang="en-US"/>
        </a:p>
      </dgm:t>
    </dgm:pt>
    <dgm:pt modelId="{E6BDDAC9-CF06-8440-AC90-54189D564F03}" type="sibTrans" cxnId="{43FE0AC7-77A9-884B-99FF-29D368C9A5AE}">
      <dgm:prSet/>
      <dgm:spPr/>
      <dgm:t>
        <a:bodyPr/>
        <a:lstStyle/>
        <a:p>
          <a:endParaRPr lang="en-US"/>
        </a:p>
      </dgm:t>
    </dgm:pt>
    <dgm:pt modelId="{48153508-4E33-BB47-AE86-F68142BD467B}">
      <dgm:prSet/>
      <dgm:spPr>
        <a:noFill/>
        <a:ln>
          <a:solidFill>
            <a:srgbClr val="12A16E"/>
          </a:solidFill>
        </a:ln>
      </dgm:spPr>
      <dgm:t>
        <a:bodyPr/>
        <a:lstStyle/>
        <a:p>
          <a:r>
            <a:rPr lang="en-GB" dirty="0"/>
            <a:t>- DFA report </a:t>
          </a:r>
        </a:p>
      </dgm:t>
    </dgm:pt>
    <dgm:pt modelId="{06FE7311-0691-C447-AC96-5DD1AF97F28B}" type="parTrans" cxnId="{C7C219A9-9A45-5640-896E-B60ED3974F03}">
      <dgm:prSet/>
      <dgm:spPr/>
      <dgm:t>
        <a:bodyPr/>
        <a:lstStyle/>
        <a:p>
          <a:endParaRPr lang="en-US"/>
        </a:p>
      </dgm:t>
    </dgm:pt>
    <dgm:pt modelId="{31D73DD1-6C52-8C4C-A36D-5A16FC48790C}" type="sibTrans" cxnId="{C7C219A9-9A45-5640-896E-B60ED3974F03}">
      <dgm:prSet/>
      <dgm:spPr/>
      <dgm:t>
        <a:bodyPr/>
        <a:lstStyle/>
        <a:p>
          <a:endParaRPr lang="en-US"/>
        </a:p>
      </dgm:t>
    </dgm:pt>
    <dgm:pt modelId="{C77EDD41-94EA-9E40-B6DF-DD1346558DAD}">
      <dgm:prSet/>
      <dgm:spPr>
        <a:noFill/>
        <a:ln>
          <a:solidFill>
            <a:srgbClr val="12A16E"/>
          </a:solidFill>
        </a:ln>
      </dgm:spPr>
      <dgm:t>
        <a:bodyPr/>
        <a:lstStyle/>
        <a:p>
          <a:r>
            <a:rPr lang="en-GB" dirty="0"/>
            <a:t>- Agreement of INFF roadmap as outcome of the DFA process</a:t>
          </a:r>
        </a:p>
      </dgm:t>
    </dgm:pt>
    <dgm:pt modelId="{F4C7CF0C-59AA-3B4C-8920-A788795730E7}" type="parTrans" cxnId="{2C048248-076E-3D46-9EB9-BFFD6BE6748A}">
      <dgm:prSet/>
      <dgm:spPr/>
      <dgm:t>
        <a:bodyPr/>
        <a:lstStyle/>
        <a:p>
          <a:endParaRPr lang="en-US"/>
        </a:p>
      </dgm:t>
    </dgm:pt>
    <dgm:pt modelId="{198C3A17-3EEC-CD4F-B53C-142BFEF52409}" type="sibTrans" cxnId="{2C048248-076E-3D46-9EB9-BFFD6BE6748A}">
      <dgm:prSet/>
      <dgm:spPr/>
      <dgm:t>
        <a:bodyPr/>
        <a:lstStyle/>
        <a:p>
          <a:endParaRPr lang="en-US"/>
        </a:p>
      </dgm:t>
    </dgm:pt>
    <dgm:pt modelId="{EB9649DE-ED7C-2348-A08F-E683358197B0}">
      <dgm:prSet phldrT="[Text]"/>
      <dgm:spPr>
        <a:noFill/>
        <a:ln>
          <a:solidFill>
            <a:srgbClr val="12A16E"/>
          </a:solidFill>
        </a:ln>
      </dgm:spPr>
      <dgm:t>
        <a:bodyPr/>
        <a:lstStyle/>
        <a:p>
          <a:r>
            <a:rPr lang="en-GB" dirty="0"/>
            <a:t>- DFA analysis: finance trends, financing policies and institutions</a:t>
          </a:r>
        </a:p>
      </dgm:t>
    </dgm:pt>
    <dgm:pt modelId="{CF04774E-23E3-2940-86F1-1A7B1AE93853}" type="parTrans" cxnId="{6AA4AA88-00CC-E046-B6AA-31B2626A73BA}">
      <dgm:prSet/>
      <dgm:spPr/>
      <dgm:t>
        <a:bodyPr/>
        <a:lstStyle/>
        <a:p>
          <a:endParaRPr lang="en-US"/>
        </a:p>
      </dgm:t>
    </dgm:pt>
    <dgm:pt modelId="{0DC00EAE-F76C-EB42-AC04-F706C9A9B6DA}" type="sibTrans" cxnId="{6AA4AA88-00CC-E046-B6AA-31B2626A73BA}">
      <dgm:prSet/>
      <dgm:spPr/>
      <dgm:t>
        <a:bodyPr/>
        <a:lstStyle/>
        <a:p>
          <a:endParaRPr lang="en-US"/>
        </a:p>
      </dgm:t>
    </dgm:pt>
    <dgm:pt modelId="{C133A75D-EA35-C340-B76D-92DEDB545479}">
      <dgm:prSet/>
      <dgm:spPr>
        <a:solidFill>
          <a:schemeClr val="bg2"/>
        </a:solidFill>
        <a:ln>
          <a:solidFill>
            <a:srgbClr val="12A16E"/>
          </a:solidFill>
        </a:ln>
      </dgm:spPr>
      <dgm:t>
        <a:bodyPr/>
        <a:lstStyle/>
        <a:p>
          <a:pPr>
            <a:buFont typeface="Arial" panose="020B0604020202020204" pitchFamily="34" charset="0"/>
            <a:buChar char="•"/>
          </a:pPr>
          <a:r>
            <a:rPr lang="en-GB" dirty="0"/>
            <a:t>- Reforms from INFF roadmap implemented (e.g. articulate financing strategy, capacity building, adapt monitoring frameworks)</a:t>
          </a:r>
        </a:p>
      </dgm:t>
    </dgm:pt>
    <dgm:pt modelId="{495F1EAF-68F2-9D4E-A804-9AF94D9432F2}" type="parTrans" cxnId="{C4DEF58E-DDB3-5444-A7D4-16D331ADF9F7}">
      <dgm:prSet/>
      <dgm:spPr/>
      <dgm:t>
        <a:bodyPr/>
        <a:lstStyle/>
        <a:p>
          <a:endParaRPr lang="en-US"/>
        </a:p>
      </dgm:t>
    </dgm:pt>
    <dgm:pt modelId="{2052FEC1-F9E1-9643-B20F-9305EB2C642B}" type="sibTrans" cxnId="{C4DEF58E-DDB3-5444-A7D4-16D331ADF9F7}">
      <dgm:prSet/>
      <dgm:spPr/>
      <dgm:t>
        <a:bodyPr/>
        <a:lstStyle/>
        <a:p>
          <a:endParaRPr lang="en-US"/>
        </a:p>
      </dgm:t>
    </dgm:pt>
    <dgm:pt modelId="{9E8252E3-FEF0-F742-94DE-FE3079AF8B68}">
      <dgm:prSet/>
      <dgm:spPr>
        <a:solidFill>
          <a:schemeClr val="bg2"/>
        </a:solidFill>
        <a:ln>
          <a:solidFill>
            <a:srgbClr val="12A16E"/>
          </a:solidFill>
        </a:ln>
      </dgm:spPr>
      <dgm:t>
        <a:bodyPr/>
        <a:lstStyle/>
        <a:p>
          <a:pPr>
            <a:buFont typeface="Arial" panose="020B0604020202020204" pitchFamily="34" charset="0"/>
            <a:buNone/>
          </a:pPr>
          <a:r>
            <a:rPr lang="en-GB" dirty="0"/>
            <a:t>- Ongoing monitoring and reforms to financing policies and its impact</a:t>
          </a:r>
          <a:endParaRPr lang="en-US" dirty="0"/>
        </a:p>
      </dgm:t>
    </dgm:pt>
    <dgm:pt modelId="{F38346BC-ECE8-8B4D-8665-74A4C3B1D8D1}" type="parTrans" cxnId="{F1BC5EAF-A911-2E43-8DFB-F51AB2CBB140}">
      <dgm:prSet/>
      <dgm:spPr/>
      <dgm:t>
        <a:bodyPr/>
        <a:lstStyle/>
        <a:p>
          <a:endParaRPr lang="en-US"/>
        </a:p>
      </dgm:t>
    </dgm:pt>
    <dgm:pt modelId="{CEED0DBB-8879-034C-9032-6BB81AB50005}" type="sibTrans" cxnId="{F1BC5EAF-A911-2E43-8DFB-F51AB2CBB140}">
      <dgm:prSet/>
      <dgm:spPr/>
      <dgm:t>
        <a:bodyPr/>
        <a:lstStyle/>
        <a:p>
          <a:endParaRPr lang="en-US"/>
        </a:p>
      </dgm:t>
    </dgm:pt>
    <dgm:pt modelId="{4562F233-237E-8D46-97D4-C7849088A8CB}">
      <dgm:prSet/>
      <dgm:spPr>
        <a:noFill/>
      </dgm:spPr>
      <dgm:t>
        <a:bodyPr/>
        <a:lstStyle/>
        <a:p>
          <a:r>
            <a:rPr lang="en-GB" dirty="0"/>
            <a:t>- DFA oversight team in place</a:t>
          </a:r>
          <a:endParaRPr lang="en-US" dirty="0"/>
        </a:p>
      </dgm:t>
    </dgm:pt>
    <dgm:pt modelId="{236DD4FF-101D-044A-9BCA-8FAD2AA64762}" type="parTrans" cxnId="{5B7436C1-80A1-7E4C-BE9C-E961EC8C104D}">
      <dgm:prSet/>
      <dgm:spPr/>
      <dgm:t>
        <a:bodyPr/>
        <a:lstStyle/>
        <a:p>
          <a:endParaRPr lang="en-US"/>
        </a:p>
      </dgm:t>
    </dgm:pt>
    <dgm:pt modelId="{2B9F2108-9ABF-1A4C-A974-5FB239A07DDF}" type="sibTrans" cxnId="{5B7436C1-80A1-7E4C-BE9C-E961EC8C104D}">
      <dgm:prSet/>
      <dgm:spPr/>
      <dgm:t>
        <a:bodyPr/>
        <a:lstStyle/>
        <a:p>
          <a:endParaRPr lang="en-US"/>
        </a:p>
      </dgm:t>
    </dgm:pt>
    <dgm:pt modelId="{476CA501-EC35-490D-861C-AC42394B2A18}" type="pres">
      <dgm:prSet presAssocID="{A9F83AF9-ED11-4518-A241-1643F6DA8DE5}" presName="Name0" presStyleCnt="0">
        <dgm:presLayoutVars>
          <dgm:chMax val="5"/>
          <dgm:chPref val="5"/>
          <dgm:dir/>
          <dgm:animLvl val="lvl"/>
        </dgm:presLayoutVars>
      </dgm:prSet>
      <dgm:spPr/>
    </dgm:pt>
    <dgm:pt modelId="{1C2308CF-1D3E-5844-A259-2705D35A5558}" type="pres">
      <dgm:prSet presAssocID="{A891D92E-0B8C-4F22-8158-369F984B5B57}" presName="parentText1" presStyleLbl="node1" presStyleIdx="0" presStyleCnt="3">
        <dgm:presLayoutVars>
          <dgm:chMax/>
          <dgm:chPref val="3"/>
          <dgm:bulletEnabled val="1"/>
        </dgm:presLayoutVars>
      </dgm:prSet>
      <dgm:spPr/>
    </dgm:pt>
    <dgm:pt modelId="{68DFD042-8939-D54F-BFCA-7C71BBD06A92}" type="pres">
      <dgm:prSet presAssocID="{A891D92E-0B8C-4F22-8158-369F984B5B57}" presName="childText1" presStyleLbl="solidAlignAcc1" presStyleIdx="0" presStyleCnt="3">
        <dgm:presLayoutVars>
          <dgm:chMax val="0"/>
          <dgm:chPref val="0"/>
          <dgm:bulletEnabled val="1"/>
        </dgm:presLayoutVars>
      </dgm:prSet>
      <dgm:spPr/>
    </dgm:pt>
    <dgm:pt modelId="{F51FC5F0-5B1B-9D4E-890A-0CDE21C68E62}" type="pres">
      <dgm:prSet presAssocID="{A10C2E98-9CB3-4D13-B051-49082AF2ED43}" presName="parentText2" presStyleLbl="node1" presStyleIdx="1" presStyleCnt="3">
        <dgm:presLayoutVars>
          <dgm:chMax/>
          <dgm:chPref val="3"/>
          <dgm:bulletEnabled val="1"/>
        </dgm:presLayoutVars>
      </dgm:prSet>
      <dgm:spPr/>
    </dgm:pt>
    <dgm:pt modelId="{5C01039C-D9A1-9243-B1BE-D88FBE4D9237}" type="pres">
      <dgm:prSet presAssocID="{A10C2E98-9CB3-4D13-B051-49082AF2ED43}" presName="childText2" presStyleLbl="solidAlignAcc1" presStyleIdx="1" presStyleCnt="3">
        <dgm:presLayoutVars>
          <dgm:chMax val="0"/>
          <dgm:chPref val="0"/>
          <dgm:bulletEnabled val="1"/>
        </dgm:presLayoutVars>
      </dgm:prSet>
      <dgm:spPr/>
    </dgm:pt>
    <dgm:pt modelId="{D8CA97E5-DBE2-AC47-9904-755D04019E3A}" type="pres">
      <dgm:prSet presAssocID="{59918470-1D8E-4379-96D2-7A2B2FC182D7}" presName="parentText3" presStyleLbl="node1" presStyleIdx="2" presStyleCnt="3">
        <dgm:presLayoutVars>
          <dgm:chMax/>
          <dgm:chPref val="3"/>
          <dgm:bulletEnabled val="1"/>
        </dgm:presLayoutVars>
      </dgm:prSet>
      <dgm:spPr/>
    </dgm:pt>
    <dgm:pt modelId="{E00720FC-81D1-3342-B41C-84A5F9D4C0CA}" type="pres">
      <dgm:prSet presAssocID="{59918470-1D8E-4379-96D2-7A2B2FC182D7}" presName="childText3" presStyleLbl="solidAlignAcc1" presStyleIdx="2" presStyleCnt="3">
        <dgm:presLayoutVars>
          <dgm:chMax val="0"/>
          <dgm:chPref val="0"/>
          <dgm:bulletEnabled val="1"/>
        </dgm:presLayoutVars>
      </dgm:prSet>
      <dgm:spPr/>
    </dgm:pt>
  </dgm:ptLst>
  <dgm:cxnLst>
    <dgm:cxn modelId="{CBDF6511-363C-4D27-A66A-1DBE182A1D44}" type="presOf" srcId="{A10C2E98-9CB3-4D13-B051-49082AF2ED43}" destId="{F51FC5F0-5B1B-9D4E-890A-0CDE21C68E62}" srcOrd="0" destOrd="0" presId="urn:microsoft.com/office/officeart/2009/3/layout/IncreasingArrowsProcess"/>
    <dgm:cxn modelId="{DE26D914-C789-4BFB-B6BA-6877DC0C710B}" type="presOf" srcId="{1538C367-517E-BF4A-96A5-741AFFD39EE9}" destId="{68DFD042-8939-D54F-BFCA-7C71BBD06A92}" srcOrd="0" destOrd="3" presId="urn:microsoft.com/office/officeart/2009/3/layout/IncreasingArrowsProcess"/>
    <dgm:cxn modelId="{C5423221-1A95-49B4-9849-D19925FB40F4}" type="presOf" srcId="{E3D52A89-81FE-475C-BD88-5E1AA1E05AC9}" destId="{5C01039C-D9A1-9243-B1BE-D88FBE4D9237}" srcOrd="0" destOrd="0" presId="urn:microsoft.com/office/officeart/2009/3/layout/IncreasingArrowsProcess"/>
    <dgm:cxn modelId="{F5D20623-AB4B-4093-ACA3-B271EAE5AA53}" srcId="{A9F83AF9-ED11-4518-A241-1643F6DA8DE5}" destId="{A10C2E98-9CB3-4D13-B051-49082AF2ED43}" srcOrd="1" destOrd="0" parTransId="{5E3B02B8-4522-4643-A2B8-9B176290FA9C}" sibTransId="{3ED863F2-0BB0-4BEE-A236-8DE94905E81A}"/>
    <dgm:cxn modelId="{C4212926-C3B0-4D73-A2A9-832548FA6F16}" srcId="{A9F83AF9-ED11-4518-A241-1643F6DA8DE5}" destId="{59918470-1D8E-4379-96D2-7A2B2FC182D7}" srcOrd="2" destOrd="0" parTransId="{52005ABF-9DB6-46BD-B73D-743FE7A82A4B}" sibTransId="{AD75772A-D07C-4A13-BCDE-D4AA6EEED452}"/>
    <dgm:cxn modelId="{6C18DE28-194C-422F-B0E8-49586C9BE300}" type="presOf" srcId="{E15FD02D-12F4-4D5C-A1CC-94244139E9C9}" destId="{68DFD042-8939-D54F-BFCA-7C71BBD06A92}" srcOrd="0" destOrd="0" presId="urn:microsoft.com/office/officeart/2009/3/layout/IncreasingArrowsProcess"/>
    <dgm:cxn modelId="{0E08E361-2639-472A-A8ED-0291B3E3431D}" type="presOf" srcId="{9E8252E3-FEF0-F742-94DE-FE3079AF8B68}" destId="{E00720FC-81D1-3342-B41C-84A5F9D4C0CA}" srcOrd="0" destOrd="1" presId="urn:microsoft.com/office/officeart/2009/3/layout/IncreasingArrowsProcess"/>
    <dgm:cxn modelId="{2C048248-076E-3D46-9EB9-BFFD6BE6748A}" srcId="{A891D92E-0B8C-4F22-8158-369F984B5B57}" destId="{C77EDD41-94EA-9E40-B6DF-DD1346558DAD}" srcOrd="5" destOrd="0" parTransId="{F4C7CF0C-59AA-3B4C-8920-A788795730E7}" sibTransId="{198C3A17-3EEC-CD4F-B53C-142BFEF52409}"/>
    <dgm:cxn modelId="{1C6E186E-D39A-42CB-B3F0-8E914882CC73}" type="presOf" srcId="{C133A75D-EA35-C340-B76D-92DEDB545479}" destId="{5C01039C-D9A1-9243-B1BE-D88FBE4D9237}" srcOrd="0" destOrd="1" presId="urn:microsoft.com/office/officeart/2009/3/layout/IncreasingArrowsProcess"/>
    <dgm:cxn modelId="{034E4B4F-EAE0-44D2-B907-DB751A64F37C}" type="presOf" srcId="{4562F233-237E-8D46-97D4-C7849088A8CB}" destId="{68DFD042-8939-D54F-BFCA-7C71BBD06A92}" srcOrd="0" destOrd="1" presId="urn:microsoft.com/office/officeart/2009/3/layout/IncreasingArrowsProcess"/>
    <dgm:cxn modelId="{23C0B676-172A-4BC9-A0BB-6E968AB23952}" type="presOf" srcId="{C77EDD41-94EA-9E40-B6DF-DD1346558DAD}" destId="{68DFD042-8939-D54F-BFCA-7C71BBD06A92}" srcOrd="0" destOrd="5" presId="urn:microsoft.com/office/officeart/2009/3/layout/IncreasingArrowsProcess"/>
    <dgm:cxn modelId="{8712C958-DACC-4A0B-91D2-A2F7D1CA930F}" type="presOf" srcId="{59918470-1D8E-4379-96D2-7A2B2FC182D7}" destId="{D8CA97E5-DBE2-AC47-9904-755D04019E3A}" srcOrd="0" destOrd="0" presId="urn:microsoft.com/office/officeart/2009/3/layout/IncreasingArrowsProcess"/>
    <dgm:cxn modelId="{1C95017E-6945-4178-A09A-B9CF478AC4D8}" srcId="{59918470-1D8E-4379-96D2-7A2B2FC182D7}" destId="{FF0A591B-5F6E-4A59-A725-B96ACAB956F9}" srcOrd="0" destOrd="0" parTransId="{C93DCD69-5489-4336-A025-A64B81E0A01C}" sibTransId="{52415A2F-1A53-4A8D-A1B9-F92688B0E076}"/>
    <dgm:cxn modelId="{5A06EE84-9724-45DE-9954-273EC1D530C2}" type="presOf" srcId="{FF0A591B-5F6E-4A59-A725-B96ACAB956F9}" destId="{E00720FC-81D1-3342-B41C-84A5F9D4C0CA}" srcOrd="0" destOrd="0" presId="urn:microsoft.com/office/officeart/2009/3/layout/IncreasingArrowsProcess"/>
    <dgm:cxn modelId="{6AA4AA88-00CC-E046-B6AA-31B2626A73BA}" srcId="{A891D92E-0B8C-4F22-8158-369F984B5B57}" destId="{EB9649DE-ED7C-2348-A08F-E683358197B0}" srcOrd="2" destOrd="0" parTransId="{CF04774E-23E3-2940-86F1-1A7B1AE93853}" sibTransId="{0DC00EAE-F76C-EB42-AC04-F706C9A9B6DA}"/>
    <dgm:cxn modelId="{9546D289-10A1-4DA4-A748-A6AE57AA0A30}" srcId="{A891D92E-0B8C-4F22-8158-369F984B5B57}" destId="{E15FD02D-12F4-4D5C-A1CC-94244139E9C9}" srcOrd="0" destOrd="0" parTransId="{FE108B9F-BF56-4EDC-9A99-DD6BD6FBF637}" sibTransId="{F31AA4BB-CBAE-4EB2-B9EE-09095BFA3BB6}"/>
    <dgm:cxn modelId="{C4DEF58E-DDB3-5444-A7D4-16D331ADF9F7}" srcId="{A10C2E98-9CB3-4D13-B051-49082AF2ED43}" destId="{C133A75D-EA35-C340-B76D-92DEDB545479}" srcOrd="1" destOrd="0" parTransId="{495F1EAF-68F2-9D4E-A804-9AF94D9432F2}" sibTransId="{2052FEC1-F9E1-9643-B20F-9305EB2C642B}"/>
    <dgm:cxn modelId="{D56A14A8-452C-4334-B2E1-1AE72421CC93}" type="presOf" srcId="{A891D92E-0B8C-4F22-8158-369F984B5B57}" destId="{1C2308CF-1D3E-5844-A259-2705D35A5558}" srcOrd="0" destOrd="0" presId="urn:microsoft.com/office/officeart/2009/3/layout/IncreasingArrowsProcess"/>
    <dgm:cxn modelId="{4F38BDA8-5CF4-49D7-9A2B-E8C53CD0D82D}" type="presOf" srcId="{EB9649DE-ED7C-2348-A08F-E683358197B0}" destId="{68DFD042-8939-D54F-BFCA-7C71BBD06A92}" srcOrd="0" destOrd="2" presId="urn:microsoft.com/office/officeart/2009/3/layout/IncreasingArrowsProcess"/>
    <dgm:cxn modelId="{C7C219A9-9A45-5640-896E-B60ED3974F03}" srcId="{A891D92E-0B8C-4F22-8158-369F984B5B57}" destId="{48153508-4E33-BB47-AE86-F68142BD467B}" srcOrd="4" destOrd="0" parTransId="{06FE7311-0691-C447-AC96-5DD1AF97F28B}" sibTransId="{31D73DD1-6C52-8C4C-A36D-5A16FC48790C}"/>
    <dgm:cxn modelId="{F1BC5EAF-A911-2E43-8DFB-F51AB2CBB140}" srcId="{59918470-1D8E-4379-96D2-7A2B2FC182D7}" destId="{9E8252E3-FEF0-F742-94DE-FE3079AF8B68}" srcOrd="1" destOrd="0" parTransId="{F38346BC-ECE8-8B4D-8665-74A4C3B1D8D1}" sibTransId="{CEED0DBB-8879-034C-9032-6BB81AB50005}"/>
    <dgm:cxn modelId="{8DF2C1AF-C9B2-40CD-A159-1E01CD1B98B1}" srcId="{A10C2E98-9CB3-4D13-B051-49082AF2ED43}" destId="{E3D52A89-81FE-475C-BD88-5E1AA1E05AC9}" srcOrd="0" destOrd="0" parTransId="{1C8C10C5-B028-43BF-A995-E17B4E921058}" sibTransId="{11890947-F86D-4E6B-83ED-811B89CA94E3}"/>
    <dgm:cxn modelId="{3EBA23BD-A283-43A8-96C3-B892148D6565}" type="presOf" srcId="{48153508-4E33-BB47-AE86-F68142BD467B}" destId="{68DFD042-8939-D54F-BFCA-7C71BBD06A92}" srcOrd="0" destOrd="4" presId="urn:microsoft.com/office/officeart/2009/3/layout/IncreasingArrowsProcess"/>
    <dgm:cxn modelId="{5B7436C1-80A1-7E4C-BE9C-E961EC8C104D}" srcId="{A891D92E-0B8C-4F22-8158-369F984B5B57}" destId="{4562F233-237E-8D46-97D4-C7849088A8CB}" srcOrd="1" destOrd="0" parTransId="{236DD4FF-101D-044A-9BCA-8FAD2AA64762}" sibTransId="{2B9F2108-9ABF-1A4C-A974-5FB239A07DDF}"/>
    <dgm:cxn modelId="{43FE0AC7-77A9-884B-99FF-29D368C9A5AE}" srcId="{A891D92E-0B8C-4F22-8158-369F984B5B57}" destId="{1538C367-517E-BF4A-96A5-741AFFD39EE9}" srcOrd="3" destOrd="0" parTransId="{571E5E4C-9C06-7C46-8AB7-AC5656FFBAF8}" sibTransId="{E6BDDAC9-CF06-8440-AC90-54189D564F03}"/>
    <dgm:cxn modelId="{DF0908FB-6F8C-4239-8C41-BB8471579133}" srcId="{A9F83AF9-ED11-4518-A241-1643F6DA8DE5}" destId="{A891D92E-0B8C-4F22-8158-369F984B5B57}" srcOrd="0" destOrd="0" parTransId="{921462CB-E5C3-4BE5-A47F-7E150E4CC646}" sibTransId="{4477AA29-9ADB-4EE2-96ED-7069A52AFBE6}"/>
    <dgm:cxn modelId="{D92769FD-506B-49D8-AE92-833E8415AAFE}" type="presOf" srcId="{A9F83AF9-ED11-4518-A241-1643F6DA8DE5}" destId="{476CA501-EC35-490D-861C-AC42394B2A18}" srcOrd="0" destOrd="0" presId="urn:microsoft.com/office/officeart/2009/3/layout/IncreasingArrowsProcess"/>
    <dgm:cxn modelId="{21FEDC70-4252-41AC-9D88-C93FBBB87705}" type="presParOf" srcId="{476CA501-EC35-490D-861C-AC42394B2A18}" destId="{1C2308CF-1D3E-5844-A259-2705D35A5558}" srcOrd="0" destOrd="0" presId="urn:microsoft.com/office/officeart/2009/3/layout/IncreasingArrowsProcess"/>
    <dgm:cxn modelId="{75B59957-856C-4151-8DF5-DEA7A4AAB2AD}" type="presParOf" srcId="{476CA501-EC35-490D-861C-AC42394B2A18}" destId="{68DFD042-8939-D54F-BFCA-7C71BBD06A92}" srcOrd="1" destOrd="0" presId="urn:microsoft.com/office/officeart/2009/3/layout/IncreasingArrowsProcess"/>
    <dgm:cxn modelId="{15C69E19-F971-47B7-9102-72E76785D6DE}" type="presParOf" srcId="{476CA501-EC35-490D-861C-AC42394B2A18}" destId="{F51FC5F0-5B1B-9D4E-890A-0CDE21C68E62}" srcOrd="2" destOrd="0" presId="urn:microsoft.com/office/officeart/2009/3/layout/IncreasingArrowsProcess"/>
    <dgm:cxn modelId="{826F62D3-7AAF-4709-BC3F-82FCE4D36873}" type="presParOf" srcId="{476CA501-EC35-490D-861C-AC42394B2A18}" destId="{5C01039C-D9A1-9243-B1BE-D88FBE4D9237}" srcOrd="3" destOrd="0" presId="urn:microsoft.com/office/officeart/2009/3/layout/IncreasingArrowsProcess"/>
    <dgm:cxn modelId="{F173C48B-C2BA-4BC0-90DD-C7BB6BC0A3B4}" type="presParOf" srcId="{476CA501-EC35-490D-861C-AC42394B2A18}" destId="{D8CA97E5-DBE2-AC47-9904-755D04019E3A}" srcOrd="4" destOrd="0" presId="urn:microsoft.com/office/officeart/2009/3/layout/IncreasingArrowsProcess"/>
    <dgm:cxn modelId="{94B1924E-15AF-427C-80BE-F78FCED88E3F}" type="presParOf" srcId="{476CA501-EC35-490D-861C-AC42394B2A18}" destId="{E00720FC-81D1-3342-B41C-84A5F9D4C0CA}" srcOrd="5" destOrd="0" presId="urn:microsoft.com/office/officeart/2009/3/layout/IncreasingArrowsProcess"/>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2308CF-1D3E-5844-A259-2705D35A5558}">
      <dsp:nvSpPr>
        <dsp:cNvPr id="0" name=""/>
        <dsp:cNvSpPr/>
      </dsp:nvSpPr>
      <dsp:spPr>
        <a:xfrm>
          <a:off x="455718" y="5659"/>
          <a:ext cx="5032163" cy="732874"/>
        </a:xfrm>
        <a:prstGeom prst="rightArrow">
          <a:avLst>
            <a:gd name="adj1" fmla="val 50000"/>
            <a:gd name="adj2" fmla="val 50000"/>
          </a:avLst>
        </a:prstGeom>
        <a:solidFill>
          <a:srgbClr val="00996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16344" numCol="1" spcCol="1270" anchor="ctr" anchorCtr="0">
          <a:noAutofit/>
        </a:bodyPr>
        <a:lstStyle/>
        <a:p>
          <a:pPr marL="0" lvl="0" indent="0" algn="l" defTabSz="622300">
            <a:lnSpc>
              <a:spcPct val="90000"/>
            </a:lnSpc>
            <a:spcBef>
              <a:spcPct val="0"/>
            </a:spcBef>
            <a:spcAft>
              <a:spcPct val="35000"/>
            </a:spcAft>
            <a:buNone/>
          </a:pPr>
          <a:r>
            <a:rPr lang="en-GB" sz="1400" kern="1200" dirty="0"/>
            <a:t>DFA/INFF inception phase (Ongoing ~6-9 months)</a:t>
          </a:r>
        </a:p>
      </dsp:txBody>
      <dsp:txXfrm>
        <a:off x="455718" y="188878"/>
        <a:ext cx="4848945" cy="366437"/>
      </dsp:txXfrm>
    </dsp:sp>
    <dsp:sp modelId="{68DFD042-8939-D54F-BFCA-7C71BBD06A92}">
      <dsp:nvSpPr>
        <dsp:cNvPr id="0" name=""/>
        <dsp:cNvSpPr/>
      </dsp:nvSpPr>
      <dsp:spPr>
        <a:xfrm>
          <a:off x="455718" y="570811"/>
          <a:ext cx="1549906" cy="1411786"/>
        </a:xfrm>
        <a:prstGeom prst="rect">
          <a:avLst/>
        </a:prstGeom>
        <a:noFill/>
        <a:ln w="12700" cap="flat" cmpd="sng" algn="ctr">
          <a:solidFill>
            <a:srgbClr val="12A16E"/>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GB" sz="800" kern="1200" dirty="0"/>
            <a:t>- DFA scoping mission (February 2020)</a:t>
          </a:r>
        </a:p>
        <a:p>
          <a:pPr marL="0" lvl="0" indent="0" algn="l" defTabSz="355600">
            <a:lnSpc>
              <a:spcPct val="90000"/>
            </a:lnSpc>
            <a:spcBef>
              <a:spcPct val="0"/>
            </a:spcBef>
            <a:spcAft>
              <a:spcPct val="35000"/>
            </a:spcAft>
            <a:buNone/>
          </a:pPr>
          <a:r>
            <a:rPr lang="en-GB" sz="800" kern="1200" dirty="0"/>
            <a:t>- DFA oversight team in place</a:t>
          </a:r>
          <a:endParaRPr lang="en-US" sz="800" kern="1200" dirty="0"/>
        </a:p>
        <a:p>
          <a:pPr marL="0" lvl="0" indent="0" algn="l" defTabSz="355600">
            <a:lnSpc>
              <a:spcPct val="90000"/>
            </a:lnSpc>
            <a:spcBef>
              <a:spcPct val="0"/>
            </a:spcBef>
            <a:spcAft>
              <a:spcPct val="35000"/>
            </a:spcAft>
            <a:buNone/>
          </a:pPr>
          <a:r>
            <a:rPr lang="en-GB" sz="800" kern="1200" dirty="0"/>
            <a:t>- DFA analysis: finance trends, financing policies and institutions</a:t>
          </a:r>
        </a:p>
        <a:p>
          <a:pPr marL="0" lvl="0" indent="0" algn="l" defTabSz="355600">
            <a:lnSpc>
              <a:spcPct val="90000"/>
            </a:lnSpc>
            <a:spcBef>
              <a:spcPct val="0"/>
            </a:spcBef>
            <a:spcAft>
              <a:spcPct val="35000"/>
            </a:spcAft>
            <a:buNone/>
          </a:pPr>
          <a:r>
            <a:rPr lang="en-GB" sz="800" kern="1200" dirty="0"/>
            <a:t>- DFA financing dialogues</a:t>
          </a:r>
        </a:p>
        <a:p>
          <a:pPr marL="0" lvl="0" indent="0" algn="l" defTabSz="355600">
            <a:lnSpc>
              <a:spcPct val="90000"/>
            </a:lnSpc>
            <a:spcBef>
              <a:spcPct val="0"/>
            </a:spcBef>
            <a:spcAft>
              <a:spcPct val="35000"/>
            </a:spcAft>
            <a:buNone/>
          </a:pPr>
          <a:r>
            <a:rPr lang="en-GB" sz="800" kern="1200" dirty="0"/>
            <a:t>- DFA report </a:t>
          </a:r>
        </a:p>
        <a:p>
          <a:pPr marL="0" lvl="0" indent="0" algn="l" defTabSz="355600">
            <a:lnSpc>
              <a:spcPct val="90000"/>
            </a:lnSpc>
            <a:spcBef>
              <a:spcPct val="0"/>
            </a:spcBef>
            <a:spcAft>
              <a:spcPct val="35000"/>
            </a:spcAft>
            <a:buNone/>
          </a:pPr>
          <a:r>
            <a:rPr lang="en-GB" sz="800" kern="1200" dirty="0"/>
            <a:t>- Agreement of INFF roadmap as outcome of the DFA process</a:t>
          </a:r>
        </a:p>
      </dsp:txBody>
      <dsp:txXfrm>
        <a:off x="455718" y="570811"/>
        <a:ext cx="1549906" cy="1411786"/>
      </dsp:txXfrm>
    </dsp:sp>
    <dsp:sp modelId="{F51FC5F0-5B1B-9D4E-890A-0CDE21C68E62}">
      <dsp:nvSpPr>
        <dsp:cNvPr id="0" name=""/>
        <dsp:cNvSpPr/>
      </dsp:nvSpPr>
      <dsp:spPr>
        <a:xfrm>
          <a:off x="2005624" y="249951"/>
          <a:ext cx="3482257" cy="732874"/>
        </a:xfrm>
        <a:prstGeom prst="rightArrow">
          <a:avLst>
            <a:gd name="adj1" fmla="val 50000"/>
            <a:gd name="adj2" fmla="val 50000"/>
          </a:avLst>
        </a:prstGeom>
        <a:solidFill>
          <a:srgbClr val="00996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16344" numCol="1" spcCol="1270" anchor="ctr" anchorCtr="0">
          <a:noAutofit/>
        </a:bodyPr>
        <a:lstStyle/>
        <a:p>
          <a:pPr marL="0" lvl="0" indent="0" algn="l" defTabSz="622300">
            <a:lnSpc>
              <a:spcPct val="90000"/>
            </a:lnSpc>
            <a:spcBef>
              <a:spcPct val="0"/>
            </a:spcBef>
            <a:spcAft>
              <a:spcPct val="35000"/>
            </a:spcAft>
            <a:buNone/>
          </a:pPr>
          <a:r>
            <a:rPr lang="en-GB" sz="1400" kern="1200" dirty="0"/>
            <a:t>INFF set-up phase (~1 year)</a:t>
          </a:r>
        </a:p>
      </dsp:txBody>
      <dsp:txXfrm>
        <a:off x="2005624" y="433170"/>
        <a:ext cx="3299039" cy="366437"/>
      </dsp:txXfrm>
    </dsp:sp>
    <dsp:sp modelId="{5C01039C-D9A1-9243-B1BE-D88FBE4D9237}">
      <dsp:nvSpPr>
        <dsp:cNvPr id="0" name=""/>
        <dsp:cNvSpPr/>
      </dsp:nvSpPr>
      <dsp:spPr>
        <a:xfrm>
          <a:off x="2005624" y="815103"/>
          <a:ext cx="1549906" cy="1411786"/>
        </a:xfrm>
        <a:prstGeom prst="rect">
          <a:avLst/>
        </a:prstGeom>
        <a:solidFill>
          <a:schemeClr val="bg2"/>
        </a:solidFill>
        <a:ln w="12700" cap="flat" cmpd="sng" algn="ctr">
          <a:solidFill>
            <a:srgbClr val="12A16E"/>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Font typeface="Arial" panose="020B0604020202020204" pitchFamily="34" charset="0"/>
            <a:buNone/>
          </a:pPr>
          <a:r>
            <a:rPr lang="en-GB" sz="800" kern="1200" dirty="0"/>
            <a:t>- INFF roadmap launched by oversight team</a:t>
          </a:r>
        </a:p>
        <a:p>
          <a:pPr marL="0" lvl="0" indent="0" algn="l" defTabSz="355600">
            <a:lnSpc>
              <a:spcPct val="90000"/>
            </a:lnSpc>
            <a:spcBef>
              <a:spcPct val="0"/>
            </a:spcBef>
            <a:spcAft>
              <a:spcPct val="35000"/>
            </a:spcAft>
            <a:buFont typeface="Arial" panose="020B0604020202020204" pitchFamily="34" charset="0"/>
            <a:buNone/>
          </a:pPr>
          <a:r>
            <a:rPr lang="en-GB" sz="800" kern="1200" dirty="0"/>
            <a:t>- INFF Oversight Committee consolidated</a:t>
          </a:r>
        </a:p>
        <a:p>
          <a:pPr marL="0" lvl="0" indent="0" algn="l" defTabSz="355600">
            <a:lnSpc>
              <a:spcPct val="90000"/>
            </a:lnSpc>
            <a:spcBef>
              <a:spcPct val="0"/>
            </a:spcBef>
            <a:spcAft>
              <a:spcPct val="35000"/>
            </a:spcAft>
            <a:buFont typeface="Arial" panose="020B0604020202020204" pitchFamily="34" charset="0"/>
            <a:buNone/>
          </a:pPr>
          <a:r>
            <a:rPr lang="en-GB" sz="800" kern="1200" dirty="0"/>
            <a:t>- Reforms from INFF roadmap implemented (e.g. articulate financing strategy, capacity building, adapt monitoring frameworks)</a:t>
          </a:r>
        </a:p>
      </dsp:txBody>
      <dsp:txXfrm>
        <a:off x="2005624" y="815103"/>
        <a:ext cx="1549906" cy="1411786"/>
      </dsp:txXfrm>
    </dsp:sp>
    <dsp:sp modelId="{D8CA97E5-DBE2-AC47-9904-755D04019E3A}">
      <dsp:nvSpPr>
        <dsp:cNvPr id="0" name=""/>
        <dsp:cNvSpPr/>
      </dsp:nvSpPr>
      <dsp:spPr>
        <a:xfrm>
          <a:off x="3555531" y="494242"/>
          <a:ext cx="1932350" cy="732874"/>
        </a:xfrm>
        <a:prstGeom prst="rightArrow">
          <a:avLst>
            <a:gd name="adj1" fmla="val 50000"/>
            <a:gd name="adj2" fmla="val 50000"/>
          </a:avLst>
        </a:prstGeom>
        <a:solidFill>
          <a:srgbClr val="00996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16344" numCol="1" spcCol="1270" anchor="ctr" anchorCtr="0">
          <a:noAutofit/>
        </a:bodyPr>
        <a:lstStyle/>
        <a:p>
          <a:pPr marL="0" lvl="0" indent="0" algn="l" defTabSz="622300">
            <a:lnSpc>
              <a:spcPct val="90000"/>
            </a:lnSpc>
            <a:spcBef>
              <a:spcPct val="0"/>
            </a:spcBef>
            <a:spcAft>
              <a:spcPct val="35000"/>
            </a:spcAft>
            <a:buNone/>
          </a:pPr>
          <a:r>
            <a:rPr lang="en-GB" sz="1400" kern="1200" dirty="0"/>
            <a:t>INFF operational</a:t>
          </a:r>
        </a:p>
      </dsp:txBody>
      <dsp:txXfrm>
        <a:off x="3555531" y="677461"/>
        <a:ext cx="1749132" cy="366437"/>
      </dsp:txXfrm>
    </dsp:sp>
    <dsp:sp modelId="{E00720FC-81D1-3342-B41C-84A5F9D4C0CA}">
      <dsp:nvSpPr>
        <dsp:cNvPr id="0" name=""/>
        <dsp:cNvSpPr/>
      </dsp:nvSpPr>
      <dsp:spPr>
        <a:xfrm>
          <a:off x="3555531" y="1059395"/>
          <a:ext cx="1549906" cy="1391125"/>
        </a:xfrm>
        <a:prstGeom prst="rect">
          <a:avLst/>
        </a:prstGeom>
        <a:solidFill>
          <a:schemeClr val="bg2"/>
        </a:solidFill>
        <a:ln w="12700" cap="flat" cmpd="sng" algn="ctr">
          <a:solidFill>
            <a:srgbClr val="12A16E"/>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Font typeface="Arial" panose="020B0604020202020204" pitchFamily="34" charset="0"/>
            <a:buNone/>
          </a:pPr>
          <a:r>
            <a:rPr lang="en-GB" sz="800" kern="1200" dirty="0"/>
            <a:t>- Implement National Integrated Financing Strategy to support delivery of SAP and the SDGs</a:t>
          </a:r>
        </a:p>
        <a:p>
          <a:pPr marL="0" lvl="0" indent="0" algn="l" defTabSz="355600">
            <a:lnSpc>
              <a:spcPct val="90000"/>
            </a:lnSpc>
            <a:spcBef>
              <a:spcPct val="0"/>
            </a:spcBef>
            <a:spcAft>
              <a:spcPct val="35000"/>
            </a:spcAft>
            <a:buFont typeface="Arial" panose="020B0604020202020204" pitchFamily="34" charset="0"/>
            <a:buNone/>
          </a:pPr>
          <a:r>
            <a:rPr lang="en-GB" sz="800" kern="1200" dirty="0"/>
            <a:t>- Ongoing monitoring and reforms to financing policies and its impact</a:t>
          </a:r>
          <a:endParaRPr lang="en-US" sz="800" kern="1200" dirty="0"/>
        </a:p>
      </dsp:txBody>
      <dsp:txXfrm>
        <a:off x="3555531" y="1059395"/>
        <a:ext cx="1549906" cy="1391125"/>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1" ma:contentTypeDescription="Create a new document." ma:contentTypeScope="" ma:versionID="7feb73cb4817a9aaddc82d4d2335b820">
  <xsd:schema xmlns:xsd="http://www.w3.org/2001/XMLSchema" xmlns:xs="http://www.w3.org/2001/XMLSchema" xmlns:p="http://schemas.microsoft.com/office/2006/metadata/properties" xmlns:ns3="33856b32-dbbd-4996-9e5d-776de7c2e4f8" xmlns:ns4="a8946dc4-2e98-472c-b2e6-ca9019b8dfda" targetNamespace="http://schemas.microsoft.com/office/2006/metadata/properties" ma:root="true" ma:fieldsID="150955a0ce34aa9b233985b4177587a6" ns3:_="" ns4:_="">
    <xsd:import namespace="33856b32-dbbd-4996-9e5d-776de7c2e4f8"/>
    <xsd:import namespace="a8946dc4-2e98-472c-b2e6-ca9019b8df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TaxCatchAll xmlns="1ed4137b-41b2-488b-8250-6d369ec27664">
      <Value>1511</Value>
      <Value>1110</Value>
      <Value>1</Value>
      <Value>763</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2022-03-01T13:00:00+00:00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_Publisher xmlns="http://schemas.microsoft.com/sharepoint/v3/fields" xsi:nil="true"/>
    <UNDPPOPPFunctionalArea xmlns="f1161f5b-24a3-4c2d-bc81-44cb9325e8ee">Programme and Project</UNDPPOPPFunctionalArea>
    <Document_x0020_Coverage_x0020_Period_x0020_Start_x0020_Date xmlns="f1161f5b-24a3-4c2d-bc81-44cb9325e8ee">2020-07-01T04:00:00+00:00</Document_x0020_Coverage_x0020_Period_x0020_Start_x0020_Date>
    <Document_x0020_Coverage_x0020_Period_x0020_End_x0020_Date xmlns="f1161f5b-24a3-4c2d-bc81-44cb9325e8ee">2022-12-31T05:00:00+00:00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00128699</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MDV</TermName>
          <TermId xmlns="http://schemas.microsoft.com/office/infopath/2007/PartnerControls">b421d48e-8dae-4c45-88ca-3f43156ae665</TermId>
        </TermInfo>
      </Terms>
    </gc6531b704974d528487414686b72f6f>
    <_dlc_DocId xmlns="f1161f5b-24a3-4c2d-bc81-44cb9325e8ee">ATLASPDC-4-147349</_dlc_DocId>
    <_dlc_DocIdUrl xmlns="f1161f5b-24a3-4c2d-bc81-44cb9325e8ee">
      <Url>https://info.undp.org/docs/pdc/_layouts/DocIdRedir.aspx?ID=ATLASPDC-4-147349</Url>
      <Description>ATLASPDC-4-147349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90891B75A144EA48812F08A082DCF94B" ma:contentTypeVersion="12" ma:contentTypeDescription="Create a new document." ma:contentTypeScope="" ma:versionID="e31d98b432a8f18bbd72f0d2698e83aa">
  <xsd:schema xmlns:xsd="http://www.w3.org/2001/XMLSchema" xmlns:xs="http://www.w3.org/2001/XMLSchema" xmlns:p="http://schemas.microsoft.com/office/2006/metadata/properties" xmlns:ns3="f90ca666-a4da-4145-adf2-fdd2ed1886b3" xmlns:ns4="05503375-46a1-454b-ba6e-791b815da8e7" targetNamespace="http://schemas.microsoft.com/office/2006/metadata/properties" ma:root="true" ma:fieldsID="a7888a04235f90bddb88a8da1b9daa3c" ns3:_="" ns4:_="">
    <xsd:import namespace="f90ca666-a4da-4145-adf2-fdd2ed1886b3"/>
    <xsd:import namespace="05503375-46a1-454b-ba6e-791b815da8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ca666-a4da-4145-adf2-fdd2ed188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503375-46a1-454b-ba6e-791b815da8e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9DE3A56-F037-474E-BDA2-E8BE1238239F}">
  <ds:schemaRefs>
    <ds:schemaRef ds:uri="http://schemas.microsoft.com/sharepoint/v3/contenttype/forms"/>
  </ds:schemaRefs>
</ds:datastoreItem>
</file>

<file path=customXml/itemProps2.xml><?xml version="1.0" encoding="utf-8"?>
<ds:datastoreItem xmlns:ds="http://schemas.openxmlformats.org/officeDocument/2006/customXml" ds:itemID="{9000648C-ED99-4C1F-887B-1761A6609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56b32-dbbd-4996-9e5d-776de7c2e4f8"/>
    <ds:schemaRef ds:uri="a8946dc4-2e98-472c-b2e6-ca9019b8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7A628-4B3E-4645-9ED4-AC032F5D8152}">
  <ds:schemaRefs>
    <ds:schemaRef ds:uri="http://schemas.openxmlformats.org/officeDocument/2006/bibliography"/>
  </ds:schemaRefs>
</ds:datastoreItem>
</file>

<file path=customXml/itemProps4.xml><?xml version="1.0" encoding="utf-8"?>
<ds:datastoreItem xmlns:ds="http://schemas.openxmlformats.org/officeDocument/2006/customXml" ds:itemID="{A42B2E41-FC55-4CEF-939A-14CDDE364CEE}"/>
</file>

<file path=customXml/itemProps5.xml><?xml version="1.0" encoding="utf-8"?>
<ds:datastoreItem xmlns:ds="http://schemas.openxmlformats.org/officeDocument/2006/customXml" ds:itemID="{FF57B8C6-15FE-44C6-A7F6-8B2A95ED2539}">
  <ds:schemaRefs>
    <ds:schemaRef ds:uri="http://schemas.microsoft.com/office/2006/metadata/properties"/>
    <ds:schemaRef ds:uri="http://schemas.microsoft.com/office/infopath/2007/PartnerControls"/>
    <ds:schemaRef ds:uri="ca283e0b-db31-4043-a2ef-b80661bf084a"/>
    <ds:schemaRef ds:uri="5d71db15-b9a4-4526-b99c-ccd579f5a010"/>
    <ds:schemaRef ds:uri="http://schemas.microsoft.com/sharepoint/v4"/>
    <ds:schemaRef ds:uri="http://schemas.microsoft.com/sharepoint.v3"/>
  </ds:schemaRefs>
</ds:datastoreItem>
</file>

<file path=customXml/itemProps6.xml><?xml version="1.0" encoding="utf-8"?>
<ds:datastoreItem xmlns:ds="http://schemas.openxmlformats.org/officeDocument/2006/customXml" ds:itemID="{BCFBA821-D2C9-439E-8743-2344F5268DED}"/>
</file>

<file path=customXml/itemProps7.xml><?xml version="1.0" encoding="utf-8"?>
<ds:datastoreItem xmlns:ds="http://schemas.openxmlformats.org/officeDocument/2006/customXml" ds:itemID="{5C355324-08B3-4178-BADB-76D494835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ca666-a4da-4145-adf2-fdd2ed1886b3"/>
    <ds:schemaRef ds:uri="05503375-46a1-454b-ba6e-791b815da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8824C814-B1DE-47B0-A34E-F5F671B79DCF}"/>
</file>

<file path=customXml/itemProps9.xml><?xml version="1.0" encoding="utf-8"?>
<ds:datastoreItem xmlns:ds="http://schemas.openxmlformats.org/officeDocument/2006/customXml" ds:itemID="{EACC003A-3B4A-4ADA-9495-D22DC422BAE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21201</Words>
  <Characters>120848</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141766</CharactersWithSpaces>
  <SharedDoc>false</SharedDoc>
  <HLinks>
    <vt:vector size="264" baseType="variant">
      <vt:variant>
        <vt:i4>8126550</vt:i4>
      </vt:variant>
      <vt:variant>
        <vt:i4>123</vt:i4>
      </vt:variant>
      <vt:variant>
        <vt:i4>0</vt:i4>
      </vt:variant>
      <vt:variant>
        <vt:i4>5</vt:i4>
      </vt:variant>
      <vt:variant>
        <vt:lpwstr>mailto:wcole@worldbank.org</vt:lpwstr>
      </vt:variant>
      <vt:variant>
        <vt:lpwstr/>
      </vt:variant>
      <vt:variant>
        <vt:i4>393250</vt:i4>
      </vt:variant>
      <vt:variant>
        <vt:i4>120</vt:i4>
      </vt:variant>
      <vt:variant>
        <vt:i4>0</vt:i4>
      </vt:variant>
      <vt:variant>
        <vt:i4>5</vt:i4>
      </vt:variant>
      <vt:variant>
        <vt:lpwstr>mailto:ibrahim@unfpa.org</vt:lpwstr>
      </vt:variant>
      <vt:variant>
        <vt:lpwstr/>
      </vt:variant>
      <vt:variant>
        <vt:i4>393250</vt:i4>
      </vt:variant>
      <vt:variant>
        <vt:i4>117</vt:i4>
      </vt:variant>
      <vt:variant>
        <vt:i4>0</vt:i4>
      </vt:variant>
      <vt:variant>
        <vt:i4>5</vt:i4>
      </vt:variant>
      <vt:variant>
        <vt:lpwstr>mailto:ibrahim@unfpa.org</vt:lpwstr>
      </vt:variant>
      <vt:variant>
        <vt:lpwstr/>
      </vt:variant>
      <vt:variant>
        <vt:i4>393250</vt:i4>
      </vt:variant>
      <vt:variant>
        <vt:i4>114</vt:i4>
      </vt:variant>
      <vt:variant>
        <vt:i4>0</vt:i4>
      </vt:variant>
      <vt:variant>
        <vt:i4>5</vt:i4>
      </vt:variant>
      <vt:variant>
        <vt:lpwstr>mailto:ibrahim@unfpa.org</vt:lpwstr>
      </vt:variant>
      <vt:variant>
        <vt:lpwstr/>
      </vt:variant>
      <vt:variant>
        <vt:i4>2818114</vt:i4>
      </vt:variant>
      <vt:variant>
        <vt:i4>111</vt:i4>
      </vt:variant>
      <vt:variant>
        <vt:i4>0</vt:i4>
      </vt:variant>
      <vt:variant>
        <vt:i4>5</vt:i4>
      </vt:variant>
      <vt:variant>
        <vt:lpwstr>mailto:aysha.solih@undp.org</vt:lpwstr>
      </vt:variant>
      <vt:variant>
        <vt:lpwstr/>
      </vt:variant>
      <vt:variant>
        <vt:i4>2883674</vt:i4>
      </vt:variant>
      <vt:variant>
        <vt:i4>108</vt:i4>
      </vt:variant>
      <vt:variant>
        <vt:i4>0</vt:i4>
      </vt:variant>
      <vt:variant>
        <vt:i4>5</vt:i4>
      </vt:variant>
      <vt:variant>
        <vt:lpwstr>mailto:mohamed.shahudh@undp.org</vt:lpwstr>
      </vt:variant>
      <vt:variant>
        <vt:lpwstr/>
      </vt:variant>
      <vt:variant>
        <vt:i4>7471212</vt:i4>
      </vt:variant>
      <vt:variant>
        <vt:i4>105</vt:i4>
      </vt:variant>
      <vt:variant>
        <vt:i4>0</vt:i4>
      </vt:variant>
      <vt:variant>
        <vt:i4>5</vt:i4>
      </vt:variant>
      <vt:variant>
        <vt:lpwstr>http://www.uneval.org/document/detail/1620</vt:lpwstr>
      </vt:variant>
      <vt:variant>
        <vt:lpwstr/>
      </vt:variant>
      <vt:variant>
        <vt:i4>6619225</vt:i4>
      </vt:variant>
      <vt:variant>
        <vt:i4>102</vt:i4>
      </vt:variant>
      <vt:variant>
        <vt:i4>0</vt:i4>
      </vt:variant>
      <vt:variant>
        <vt:i4>5</vt:i4>
      </vt:variant>
      <vt:variant>
        <vt:lpwstr>mailto:nriza@usaid.gov</vt:lpwstr>
      </vt:variant>
      <vt:variant>
        <vt:lpwstr/>
      </vt:variant>
      <vt:variant>
        <vt:i4>5242981</vt:i4>
      </vt:variant>
      <vt:variant>
        <vt:i4>99</vt:i4>
      </vt:variant>
      <vt:variant>
        <vt:i4>0</vt:i4>
      </vt:variant>
      <vt:variant>
        <vt:i4>5</vt:i4>
      </vt:variant>
      <vt:variant>
        <vt:lpwstr>mailto:bakhtnia@un.org</vt:lpwstr>
      </vt:variant>
      <vt:variant>
        <vt:lpwstr/>
      </vt:variant>
      <vt:variant>
        <vt:i4>2228254</vt:i4>
      </vt:variant>
      <vt:variant>
        <vt:i4>96</vt:i4>
      </vt:variant>
      <vt:variant>
        <vt:i4>0</vt:i4>
      </vt:variant>
      <vt:variant>
        <vt:i4>5</vt:i4>
      </vt:variant>
      <vt:variant>
        <vt:lpwstr>mailto:goranssono@un.org</vt:lpwstr>
      </vt:variant>
      <vt:variant>
        <vt:lpwstr/>
      </vt:variant>
      <vt:variant>
        <vt:i4>5046391</vt:i4>
      </vt:variant>
      <vt:variant>
        <vt:i4>93</vt:i4>
      </vt:variant>
      <vt:variant>
        <vt:i4>0</vt:i4>
      </vt:variant>
      <vt:variant>
        <vt:i4>5</vt:i4>
      </vt:variant>
      <vt:variant>
        <vt:lpwstr>mailto:vyusuf@isdb.org</vt:lpwstr>
      </vt:variant>
      <vt:variant>
        <vt:lpwstr/>
      </vt:variant>
      <vt:variant>
        <vt:i4>8126531</vt:i4>
      </vt:variant>
      <vt:variant>
        <vt:i4>90</vt:i4>
      </vt:variant>
      <vt:variant>
        <vt:i4>0</vt:i4>
      </vt:variant>
      <vt:variant>
        <vt:i4>5</vt:i4>
      </vt:variant>
      <vt:variant>
        <vt:lpwstr>mailto:jvarma@adb.org</vt:lpwstr>
      </vt:variant>
      <vt:variant>
        <vt:lpwstr/>
      </vt:variant>
      <vt:variant>
        <vt:i4>8126550</vt:i4>
      </vt:variant>
      <vt:variant>
        <vt:i4>87</vt:i4>
      </vt:variant>
      <vt:variant>
        <vt:i4>0</vt:i4>
      </vt:variant>
      <vt:variant>
        <vt:i4>5</vt:i4>
      </vt:variant>
      <vt:variant>
        <vt:lpwstr>mailto:wcole@worldbank.org</vt:lpwstr>
      </vt:variant>
      <vt:variant>
        <vt:lpwstr/>
      </vt:variant>
      <vt:variant>
        <vt:i4>2228306</vt:i4>
      </vt:variant>
      <vt:variant>
        <vt:i4>84</vt:i4>
      </vt:variant>
      <vt:variant>
        <vt:i4>0</vt:i4>
      </vt:variant>
      <vt:variant>
        <vt:i4>5</vt:i4>
      </vt:variant>
      <vt:variant>
        <vt:lpwstr>mailto:ghaly.murthala@mortezacapital.com</vt:lpwstr>
      </vt:variant>
      <vt:variant>
        <vt:lpwstr/>
      </vt:variant>
      <vt:variant>
        <vt:i4>7536642</vt:i4>
      </vt:variant>
      <vt:variant>
        <vt:i4>81</vt:i4>
      </vt:variant>
      <vt:variant>
        <vt:i4>0</vt:i4>
      </vt:variant>
      <vt:variant>
        <vt:i4>5</vt:i4>
      </vt:variant>
      <vt:variant>
        <vt:lpwstr>mailto:hassan.manik@mfmc.org</vt:lpwstr>
      </vt:variant>
      <vt:variant>
        <vt:lpwstr/>
      </vt:variant>
      <vt:variant>
        <vt:i4>6291477</vt:i4>
      </vt:variant>
      <vt:variant>
        <vt:i4>78</vt:i4>
      </vt:variant>
      <vt:variant>
        <vt:i4>0</vt:i4>
      </vt:variant>
      <vt:variant>
        <vt:i4>5</vt:i4>
      </vt:variant>
      <vt:variant>
        <vt:lpwstr>mailto:secretariat.maci@gmail.com</vt:lpwstr>
      </vt:variant>
      <vt:variant>
        <vt:lpwstr/>
      </vt:variant>
      <vt:variant>
        <vt:i4>5767273</vt:i4>
      </vt:variant>
      <vt:variant>
        <vt:i4>75</vt:i4>
      </vt:variant>
      <vt:variant>
        <vt:i4>0</vt:i4>
      </vt:variant>
      <vt:variant>
        <vt:i4>5</vt:i4>
      </vt:variant>
      <vt:variant>
        <vt:lpwstr>mailto:usha@matato.org</vt:lpwstr>
      </vt:variant>
      <vt:variant>
        <vt:lpwstr/>
      </vt:variant>
      <vt:variant>
        <vt:i4>2097219</vt:i4>
      </vt:variant>
      <vt:variant>
        <vt:i4>72</vt:i4>
      </vt:variant>
      <vt:variant>
        <vt:i4>0</vt:i4>
      </vt:variant>
      <vt:variant>
        <vt:i4>5</vt:i4>
      </vt:variant>
      <vt:variant>
        <vt:lpwstr>mailto:mati@dhivehinet.net.mv</vt:lpwstr>
      </vt:variant>
      <vt:variant>
        <vt:lpwstr/>
      </vt:variant>
      <vt:variant>
        <vt:i4>4390972</vt:i4>
      </vt:variant>
      <vt:variant>
        <vt:i4>69</vt:i4>
      </vt:variant>
      <vt:variant>
        <vt:i4>0</vt:i4>
      </vt:variant>
      <vt:variant>
        <vt:i4>5</vt:i4>
      </vt:variant>
      <vt:variant>
        <vt:lpwstr>mailto:mujah.muneer@mfmc.mv</vt:lpwstr>
      </vt:variant>
      <vt:variant>
        <vt:lpwstr/>
      </vt:variant>
      <vt:variant>
        <vt:i4>6226034</vt:i4>
      </vt:variant>
      <vt:variant>
        <vt:i4>66</vt:i4>
      </vt:variant>
      <vt:variant>
        <vt:i4>0</vt:i4>
      </vt:variant>
      <vt:variant>
        <vt:i4>5</vt:i4>
      </vt:variant>
      <vt:variant>
        <vt:lpwstr>mailto:f.kamaludeen@cmda.gov.mv</vt:lpwstr>
      </vt:variant>
      <vt:variant>
        <vt:lpwstr/>
      </vt:variant>
      <vt:variant>
        <vt:i4>3080212</vt:i4>
      </vt:variant>
      <vt:variant>
        <vt:i4>63</vt:i4>
      </vt:variant>
      <vt:variant>
        <vt:i4>0</vt:i4>
      </vt:variant>
      <vt:variant>
        <vt:i4>5</vt:i4>
      </vt:variant>
      <vt:variant>
        <vt:lpwstr>mailto:sujatha.haleem@pension.gov.mv</vt:lpwstr>
      </vt:variant>
      <vt:variant>
        <vt:lpwstr/>
      </vt:variant>
      <vt:variant>
        <vt:i4>6422558</vt:i4>
      </vt:variant>
      <vt:variant>
        <vt:i4>60</vt:i4>
      </vt:variant>
      <vt:variant>
        <vt:i4>0</vt:i4>
      </vt:variant>
      <vt:variant>
        <vt:i4>5</vt:i4>
      </vt:variant>
      <vt:variant>
        <vt:lpwstr>mailto:yumna@gender.gov.mv</vt:lpwstr>
      </vt:variant>
      <vt:variant>
        <vt:lpwstr/>
      </vt:variant>
      <vt:variant>
        <vt:i4>6029428</vt:i4>
      </vt:variant>
      <vt:variant>
        <vt:i4>57</vt:i4>
      </vt:variant>
      <vt:variant>
        <vt:i4>0</vt:i4>
      </vt:variant>
      <vt:variant>
        <vt:i4>5</vt:i4>
      </vt:variant>
      <vt:variant>
        <vt:lpwstr>mailto:khadeeja.adam@mohe.gov.mv</vt:lpwstr>
      </vt:variant>
      <vt:variant>
        <vt:lpwstr/>
      </vt:variant>
      <vt:variant>
        <vt:i4>5177381</vt:i4>
      </vt:variant>
      <vt:variant>
        <vt:i4>54</vt:i4>
      </vt:variant>
      <vt:variant>
        <vt:i4>0</vt:i4>
      </vt:variant>
      <vt:variant>
        <vt:i4>5</vt:i4>
      </vt:variant>
      <vt:variant>
        <vt:lpwstr>mailto:azza@moe.gov.mv</vt:lpwstr>
      </vt:variant>
      <vt:variant>
        <vt:lpwstr/>
      </vt:variant>
      <vt:variant>
        <vt:i4>6553630</vt:i4>
      </vt:variant>
      <vt:variant>
        <vt:i4>51</vt:i4>
      </vt:variant>
      <vt:variant>
        <vt:i4>0</vt:i4>
      </vt:variant>
      <vt:variant>
        <vt:i4>5</vt:i4>
      </vt:variant>
      <vt:variant>
        <vt:lpwstr>mailto:mouniabdullah@health.gov.mv</vt:lpwstr>
      </vt:variant>
      <vt:variant>
        <vt:lpwstr/>
      </vt:variant>
      <vt:variant>
        <vt:i4>4325502</vt:i4>
      </vt:variant>
      <vt:variant>
        <vt:i4>48</vt:i4>
      </vt:variant>
      <vt:variant>
        <vt:i4>0</vt:i4>
      </vt:variant>
      <vt:variant>
        <vt:i4>5</vt:i4>
      </vt:variant>
      <vt:variant>
        <vt:lpwstr>mailto:khadeeja.naseem@environment.gov.mv</vt:lpwstr>
      </vt:variant>
      <vt:variant>
        <vt:lpwstr/>
      </vt:variant>
      <vt:variant>
        <vt:i4>917564</vt:i4>
      </vt:variant>
      <vt:variant>
        <vt:i4>45</vt:i4>
      </vt:variant>
      <vt:variant>
        <vt:i4>0</vt:i4>
      </vt:variant>
      <vt:variant>
        <vt:i4>5</vt:i4>
      </vt:variant>
      <vt:variant>
        <vt:lpwstr>mailto:shuhad.ibrahim@trade.gov.mv</vt:lpwstr>
      </vt:variant>
      <vt:variant>
        <vt:lpwstr/>
      </vt:variant>
      <vt:variant>
        <vt:i4>5898352</vt:i4>
      </vt:variant>
      <vt:variant>
        <vt:i4>42</vt:i4>
      </vt:variant>
      <vt:variant>
        <vt:i4>0</vt:i4>
      </vt:variant>
      <vt:variant>
        <vt:i4>5</vt:i4>
      </vt:variant>
      <vt:variant>
        <vt:lpwstr>mailto:aishath.hassan@stats.gov.mv</vt:lpwstr>
      </vt:variant>
      <vt:variant>
        <vt:lpwstr/>
      </vt:variant>
      <vt:variant>
        <vt:i4>6946892</vt:i4>
      </vt:variant>
      <vt:variant>
        <vt:i4>39</vt:i4>
      </vt:variant>
      <vt:variant>
        <vt:i4>0</vt:i4>
      </vt:variant>
      <vt:variant>
        <vt:i4>5</vt:i4>
      </vt:variant>
      <vt:variant>
        <vt:lpwstr>mailto:idham.hussain@mma.gov.mv</vt:lpwstr>
      </vt:variant>
      <vt:variant>
        <vt:lpwstr/>
      </vt:variant>
      <vt:variant>
        <vt:i4>1572991</vt:i4>
      </vt:variant>
      <vt:variant>
        <vt:i4>36</vt:i4>
      </vt:variant>
      <vt:variant>
        <vt:i4>0</vt:i4>
      </vt:variant>
      <vt:variant>
        <vt:i4>5</vt:i4>
      </vt:variant>
      <vt:variant>
        <vt:lpwstr>mailto:solih@audit.gov.mv</vt:lpwstr>
      </vt:variant>
      <vt:variant>
        <vt:lpwstr/>
      </vt:variant>
      <vt:variant>
        <vt:i4>6291456</vt:i4>
      </vt:variant>
      <vt:variant>
        <vt:i4>33</vt:i4>
      </vt:variant>
      <vt:variant>
        <vt:i4>0</vt:i4>
      </vt:variant>
      <vt:variant>
        <vt:i4>5</vt:i4>
      </vt:variant>
      <vt:variant>
        <vt:lpwstr>mailto:mp.mohamed.nashiz@majlis.gov.mv</vt:lpwstr>
      </vt:variant>
      <vt:variant>
        <vt:lpwstr/>
      </vt:variant>
      <vt:variant>
        <vt:i4>589857</vt:i4>
      </vt:variant>
      <vt:variant>
        <vt:i4>30</vt:i4>
      </vt:variant>
      <vt:variant>
        <vt:i4>0</vt:i4>
      </vt:variant>
      <vt:variant>
        <vt:i4>5</vt:i4>
      </vt:variant>
      <vt:variant>
        <vt:lpwstr>mailto:ali.mohamed@foreign.gov.mv</vt:lpwstr>
      </vt:variant>
      <vt:variant>
        <vt:lpwstr/>
      </vt:variant>
      <vt:variant>
        <vt:i4>6422592</vt:i4>
      </vt:variant>
      <vt:variant>
        <vt:i4>27</vt:i4>
      </vt:variant>
      <vt:variant>
        <vt:i4>0</vt:i4>
      </vt:variant>
      <vt:variant>
        <vt:i4>5</vt:i4>
      </vt:variant>
      <vt:variant>
        <vt:lpwstr>mailto:fathimath.niuma@planning.gov.mv</vt:lpwstr>
      </vt:variant>
      <vt:variant>
        <vt:lpwstr/>
      </vt:variant>
      <vt:variant>
        <vt:i4>5898352</vt:i4>
      </vt:variant>
      <vt:variant>
        <vt:i4>24</vt:i4>
      </vt:variant>
      <vt:variant>
        <vt:i4>0</vt:i4>
      </vt:variant>
      <vt:variant>
        <vt:i4>5</vt:i4>
      </vt:variant>
      <vt:variant>
        <vt:lpwstr>mailto:ismail.alimanik@finance.gov.mv</vt:lpwstr>
      </vt:variant>
      <vt:variant>
        <vt:lpwstr/>
      </vt:variant>
      <vt:variant>
        <vt:i4>6422595</vt:i4>
      </vt:variant>
      <vt:variant>
        <vt:i4>21</vt:i4>
      </vt:variant>
      <vt:variant>
        <vt:i4>0</vt:i4>
      </vt:variant>
      <vt:variant>
        <vt:i4>5</vt:i4>
      </vt:variant>
      <vt:variant>
        <vt:lpwstr>mailto:anwarna@who.int</vt:lpwstr>
      </vt:variant>
      <vt:variant>
        <vt:lpwstr/>
      </vt:variant>
      <vt:variant>
        <vt:i4>393250</vt:i4>
      </vt:variant>
      <vt:variant>
        <vt:i4>18</vt:i4>
      </vt:variant>
      <vt:variant>
        <vt:i4>0</vt:i4>
      </vt:variant>
      <vt:variant>
        <vt:i4>5</vt:i4>
      </vt:variant>
      <vt:variant>
        <vt:lpwstr>mailto:ibrahim@unfpa.org</vt:lpwstr>
      </vt:variant>
      <vt:variant>
        <vt:lpwstr/>
      </vt:variant>
      <vt:variant>
        <vt:i4>3670030</vt:i4>
      </vt:variant>
      <vt:variant>
        <vt:i4>15</vt:i4>
      </vt:variant>
      <vt:variant>
        <vt:i4>0</vt:i4>
      </vt:variant>
      <vt:variant>
        <vt:i4>5</vt:i4>
      </vt:variant>
      <vt:variant>
        <vt:lpwstr>mailto:psassarao@unicef.org</vt:lpwstr>
      </vt:variant>
      <vt:variant>
        <vt:lpwstr/>
      </vt:variant>
      <vt:variant>
        <vt:i4>1441901</vt:i4>
      </vt:variant>
      <vt:variant>
        <vt:i4>12</vt:i4>
      </vt:variant>
      <vt:variant>
        <vt:i4>0</vt:i4>
      </vt:variant>
      <vt:variant>
        <vt:i4>5</vt:i4>
      </vt:variant>
      <vt:variant>
        <vt:lpwstr>mailto:vera.hakim@undp.org</vt:lpwstr>
      </vt:variant>
      <vt:variant>
        <vt:lpwstr/>
      </vt:variant>
      <vt:variant>
        <vt:i4>6160507</vt:i4>
      </vt:variant>
      <vt:variant>
        <vt:i4>9</vt:i4>
      </vt:variant>
      <vt:variant>
        <vt:i4>0</vt:i4>
      </vt:variant>
      <vt:variant>
        <vt:i4>5</vt:i4>
      </vt:variant>
      <vt:variant>
        <vt:lpwstr>mailto:mariyam.manarath@finance.gov.mv</vt:lpwstr>
      </vt:variant>
      <vt:variant>
        <vt:lpwstr/>
      </vt:variant>
      <vt:variant>
        <vt:i4>1441901</vt:i4>
      </vt:variant>
      <vt:variant>
        <vt:i4>6</vt:i4>
      </vt:variant>
      <vt:variant>
        <vt:i4>0</vt:i4>
      </vt:variant>
      <vt:variant>
        <vt:i4>5</vt:i4>
      </vt:variant>
      <vt:variant>
        <vt:lpwstr>mailto:vera.hakim@undp.org</vt:lpwstr>
      </vt:variant>
      <vt:variant>
        <vt:lpwstr/>
      </vt:variant>
      <vt:variant>
        <vt:i4>4718648</vt:i4>
      </vt:variant>
      <vt:variant>
        <vt:i4>3</vt:i4>
      </vt:variant>
      <vt:variant>
        <vt:i4>0</vt:i4>
      </vt:variant>
      <vt:variant>
        <vt:i4>5</vt:i4>
      </vt:variant>
      <vt:variant>
        <vt:lpwstr>mailto:aminath.shaliny@un.org</vt:lpwstr>
      </vt:variant>
      <vt:variant>
        <vt:lpwstr/>
      </vt:variant>
      <vt:variant>
        <vt:i4>2555978</vt:i4>
      </vt:variant>
      <vt:variant>
        <vt:i4>0</vt:i4>
      </vt:variant>
      <vt:variant>
        <vt:i4>0</vt:i4>
      </vt:variant>
      <vt:variant>
        <vt:i4>5</vt:i4>
      </vt:variant>
      <vt:variant>
        <vt:lpwstr>mailto:catherine.haswell@un.org</vt:lpwstr>
      </vt:variant>
      <vt:variant>
        <vt:lpwstr/>
      </vt:variant>
      <vt:variant>
        <vt:i4>5242945</vt:i4>
      </vt:variant>
      <vt:variant>
        <vt:i4>3</vt:i4>
      </vt:variant>
      <vt:variant>
        <vt:i4>0</vt:i4>
      </vt:variant>
      <vt:variant>
        <vt:i4>5</vt:i4>
      </vt:variant>
      <vt:variant>
        <vt:lpwstr>http://www.unwomen.org/en/digital-library/publications/2015/4/un-women-evaluation-handbook-how-to-manage-gender-responsive-evaluation</vt:lpwstr>
      </vt:variant>
      <vt:variant>
        <vt:lpwstr/>
      </vt:variant>
      <vt:variant>
        <vt:i4>6094913</vt:i4>
      </vt:variant>
      <vt:variant>
        <vt:i4>0</vt:i4>
      </vt:variant>
      <vt:variant>
        <vt:i4>0</vt:i4>
      </vt:variant>
      <vt:variant>
        <vt:i4>5</vt:i4>
      </vt:variant>
      <vt:variant>
        <vt:lpwstr>https://www.adb.org/sites/default/files/publication/571536/adb-brief-128-economic-impact-covid19-developing-asia.pdf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for Joint Programme-Integrated National Financing Framework</dc:title>
  <dc:subject/>
  <dc:creator/>
  <cp:keywords/>
  <dc:description/>
  <cp:lastModifiedBy>Shaliny</cp:lastModifiedBy>
  <cp:revision>2</cp:revision>
  <cp:lastPrinted>2021-12-30T06:38:00Z</cp:lastPrinted>
  <dcterms:created xsi:type="dcterms:W3CDTF">2022-02-06T03:06:00Z</dcterms:created>
  <dcterms:modified xsi:type="dcterms:W3CDTF">2022-02-06T03:06:00Z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TaxKeyword">
    <vt:lpwstr/>
  </property>
  <property fmtid="{D5CDD505-2E9C-101B-9397-08002B2CF9AE}" pid="4" name="Topic">
    <vt:lpwstr/>
  </property>
  <property fmtid="{D5CDD505-2E9C-101B-9397-08002B2CF9AE}" pid="5" name="OfficeDivision">
    <vt:lpwstr>2;#Maldives-2740|e48f8be8-11be-41c4-a67a-bf6a97532d1e</vt:lpwstr>
  </property>
  <property fmtid="{D5CDD505-2E9C-101B-9397-08002B2CF9AE}" pid="6" name="DocumentType">
    <vt:lpwstr/>
  </property>
  <property fmtid="{D5CDD505-2E9C-101B-9397-08002B2CF9AE}" pid="7" name="GeographicScope">
    <vt:lpwstr/>
  </property>
  <property fmtid="{D5CDD505-2E9C-101B-9397-08002B2CF9AE}" pid="11" name="ContentLanguage">
    <vt:lpwstr>English</vt:lpwstr>
  </property>
  <property fmtid="{D5CDD505-2E9C-101B-9397-08002B2CF9AE}" pid="18" name="ga975397408f43e4b84ec8e5a598e523">
    <vt:lpwstr>Maldives-2740|e48f8be8-11be-41c4-a67a-bf6a97532d1e</vt:lpwstr>
  </property>
  <property fmtid="{D5CDD505-2E9C-101B-9397-08002B2CF9AE}" pid="20" name="WrittenBy">
    <vt:lpwstr/>
  </property>
  <property fmtid="{D5CDD505-2E9C-101B-9397-08002B2CF9AE}" pid="21" name="UNDPCountry">
    <vt:lpwstr/>
  </property>
  <property fmtid="{D5CDD505-2E9C-101B-9397-08002B2CF9AE}" pid="27" name="UN Languages">
    <vt:lpwstr>1;#English|7f98b732-4b5b-4b70-ba90-a0eff09b5d2d</vt:lpwstr>
  </property>
  <property fmtid="{D5CDD505-2E9C-101B-9397-08002B2CF9AE}" pid="28" name="Operating Unit0">
    <vt:lpwstr>1511;#MDV|b421d48e-8dae-4c45-88ca-3f43156ae665</vt:lpwstr>
  </property>
  <property fmtid="{D5CDD505-2E9C-101B-9397-08002B2CF9AE}" pid="30" name="Atlas Document Status">
    <vt:lpwstr>763;#Draft|121d40a5-e62e-4d42-82e4-d6d12003de0a</vt:lpwstr>
  </property>
  <property fmtid="{D5CDD505-2E9C-101B-9397-08002B2CF9AE}" pid="32" name="Atlas Document Type">
    <vt:lpwstr>1110;#Prodoc|099f975e-b4d9-4bba-a499-dbcc387c61ad</vt:lpwstr>
  </property>
  <property fmtid="{D5CDD505-2E9C-101B-9397-08002B2CF9AE}" pid="33" name="eRegFilingCodeMM">
    <vt:lpwstr/>
  </property>
  <property fmtid="{D5CDD505-2E9C-101B-9397-08002B2CF9AE}" pid="34" name="UndpUnitMM">
    <vt:lpwstr/>
  </property>
  <property fmtid="{D5CDD505-2E9C-101B-9397-08002B2CF9AE}" pid="36" name="UNDPFocusAreas">
    <vt:lpwstr/>
  </property>
  <property fmtid="{D5CDD505-2E9C-101B-9397-08002B2CF9AE}" pid="38" name="UndpDocTypeMM">
    <vt:lpwstr/>
  </property>
  <property fmtid="{D5CDD505-2E9C-101B-9397-08002B2CF9AE}" pid="40" name="UNDPDocumentCategory">
    <vt:lpwstr/>
  </property>
  <property fmtid="{D5CDD505-2E9C-101B-9397-08002B2CF9AE}" pid="41" name="_dlc_DocIdItemGuid">
    <vt:lpwstr>e86de188-3256-4e7b-aeba-cdf367f6fb52</vt:lpwstr>
  </property>
  <property fmtid="{D5CDD505-2E9C-101B-9397-08002B2CF9AE}" pid="42" name="DocumentSetDescription">
    <vt:lpwstr/>
  </property>
  <property fmtid="{D5CDD505-2E9C-101B-9397-08002B2CF9AE}" pid="43" name="UnitTaxHTField0">
    <vt:lpwstr/>
  </property>
  <property fmtid="{D5CDD505-2E9C-101B-9397-08002B2CF9AE}" pid="44" name="Unit">
    <vt:lpwstr/>
  </property>
  <property fmtid="{D5CDD505-2E9C-101B-9397-08002B2CF9AE}" pid="45" name="URL">
    <vt:lpwstr/>
  </property>
</Properties>
</file>